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AC9C" w14:textId="642E8C4C" w:rsidR="00F665FE" w:rsidRDefault="00F665FE" w:rsidP="00F665FE"/>
    <w:p w14:paraId="05DB9F8D" w14:textId="77777777" w:rsidR="00F665FE" w:rsidRDefault="00F665FE" w:rsidP="00F665FE"/>
    <w:p w14:paraId="558488E6" w14:textId="77777777" w:rsidR="00F665FE" w:rsidRDefault="00F665FE" w:rsidP="00F665FE"/>
    <w:p w14:paraId="5884C93D" w14:textId="77777777" w:rsidR="00F665FE" w:rsidRDefault="00F665FE" w:rsidP="00F665FE"/>
    <w:p w14:paraId="79291E0C" w14:textId="7BBC79C4" w:rsidR="00F665FE" w:rsidRDefault="00AC4271" w:rsidP="00AC4271">
      <w:pPr>
        <w:jc w:val="center"/>
      </w:pPr>
      <w:r w:rsidRPr="00AC4271">
        <w:rPr>
          <w:lang w:val="en-US"/>
        </w:rPr>
        <w:drawing>
          <wp:inline distT="0" distB="0" distL="0" distR="0" wp14:anchorId="63953D4A" wp14:editId="5F69DFD3">
            <wp:extent cx="4072255" cy="14325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2255" cy="1432560"/>
                    </a:xfrm>
                    <a:prstGeom prst="rect">
                      <a:avLst/>
                    </a:prstGeom>
                    <a:noFill/>
                  </pic:spPr>
                </pic:pic>
              </a:graphicData>
            </a:graphic>
          </wp:inline>
        </w:drawing>
      </w:r>
    </w:p>
    <w:p w14:paraId="397299FC" w14:textId="77777777" w:rsidR="00F665FE" w:rsidRDefault="00F665FE" w:rsidP="00F665FE"/>
    <w:p w14:paraId="4C0E252C" w14:textId="77777777" w:rsidR="00F665FE" w:rsidRDefault="00F665FE" w:rsidP="00F665FE"/>
    <w:p w14:paraId="55B4F627" w14:textId="77777777" w:rsidR="00F665FE" w:rsidRDefault="00F665FE" w:rsidP="00F665FE"/>
    <w:p w14:paraId="1A5428F6" w14:textId="77777777" w:rsidR="00F665FE" w:rsidRDefault="00F665FE" w:rsidP="00F665FE"/>
    <w:p w14:paraId="29B42356" w14:textId="77777777" w:rsidR="00F665FE" w:rsidRPr="00386D64" w:rsidRDefault="00F665FE" w:rsidP="00F665FE">
      <w:pPr>
        <w:jc w:val="center"/>
        <w:rPr>
          <w:b/>
          <w:sz w:val="40"/>
          <w:szCs w:val="40"/>
        </w:rPr>
      </w:pPr>
      <w:r w:rsidRPr="00386D64">
        <w:rPr>
          <w:b/>
          <w:sz w:val="40"/>
          <w:szCs w:val="40"/>
        </w:rPr>
        <w:t>British Forces School Naples</w:t>
      </w:r>
    </w:p>
    <w:p w14:paraId="7EBC5608" w14:textId="77777777" w:rsidR="00F665FE" w:rsidRPr="00386D64" w:rsidRDefault="00D35F42" w:rsidP="00F665FE">
      <w:pPr>
        <w:jc w:val="center"/>
        <w:rPr>
          <w:sz w:val="52"/>
          <w:szCs w:val="52"/>
        </w:rPr>
      </w:pPr>
      <w:r>
        <w:rPr>
          <w:sz w:val="52"/>
          <w:szCs w:val="52"/>
        </w:rPr>
        <w:t>SEND</w:t>
      </w:r>
      <w:r w:rsidR="00F665FE" w:rsidRPr="00386D64">
        <w:rPr>
          <w:sz w:val="52"/>
          <w:szCs w:val="52"/>
        </w:rPr>
        <w:t xml:space="preserve"> Policy</w:t>
      </w:r>
      <w:r>
        <w:rPr>
          <w:sz w:val="52"/>
          <w:szCs w:val="52"/>
        </w:rPr>
        <w:t xml:space="preserve"> and Guidance</w:t>
      </w:r>
    </w:p>
    <w:p w14:paraId="1A3D6F2A" w14:textId="7DA0703B" w:rsidR="00F665FE" w:rsidRPr="00386D64" w:rsidRDefault="00721DE2" w:rsidP="00F665FE">
      <w:pPr>
        <w:jc w:val="center"/>
        <w:rPr>
          <w:b/>
          <w:i/>
          <w:sz w:val="36"/>
          <w:szCs w:val="36"/>
        </w:rPr>
      </w:pPr>
      <w:r>
        <w:rPr>
          <w:b/>
          <w:i/>
          <w:sz w:val="36"/>
          <w:szCs w:val="36"/>
        </w:rPr>
        <w:t>October</w:t>
      </w:r>
      <w:r w:rsidR="00A51C28">
        <w:rPr>
          <w:b/>
          <w:i/>
          <w:sz w:val="36"/>
          <w:szCs w:val="36"/>
        </w:rPr>
        <w:t xml:space="preserve"> 202</w:t>
      </w:r>
      <w:r w:rsidR="00AC4271">
        <w:rPr>
          <w:b/>
          <w:i/>
          <w:sz w:val="36"/>
          <w:szCs w:val="36"/>
        </w:rPr>
        <w:t>2</w:t>
      </w:r>
    </w:p>
    <w:p w14:paraId="41DE5448" w14:textId="77777777" w:rsidR="00F665FE" w:rsidRDefault="00F665FE" w:rsidP="00F665FE"/>
    <w:p w14:paraId="09542693" w14:textId="77777777" w:rsidR="00F665FE" w:rsidRDefault="00F665FE" w:rsidP="00F665FE"/>
    <w:p w14:paraId="7C5895C3" w14:textId="77777777" w:rsidR="00F665FE" w:rsidRDefault="00F665FE" w:rsidP="00F665FE"/>
    <w:p w14:paraId="6D765B2A" w14:textId="77777777" w:rsidR="00F665FE" w:rsidRDefault="00F665FE" w:rsidP="00F665FE"/>
    <w:p w14:paraId="709447E0" w14:textId="77777777" w:rsidR="00F665FE" w:rsidRDefault="00F665FE" w:rsidP="00F665FE"/>
    <w:p w14:paraId="039652B1" w14:textId="77777777" w:rsidR="00F665FE" w:rsidRDefault="00F665FE" w:rsidP="00F665FE"/>
    <w:p w14:paraId="38EEFC96" w14:textId="77777777" w:rsidR="00F665FE" w:rsidRDefault="00F665FE" w:rsidP="00F665FE"/>
    <w:p w14:paraId="435CC761" w14:textId="77777777" w:rsidR="00F665FE" w:rsidRDefault="00F665FE" w:rsidP="00F665FE"/>
    <w:p w14:paraId="6232B305" w14:textId="3BD4D7B3" w:rsidR="00F665FE" w:rsidRPr="00A05681" w:rsidRDefault="00F665FE" w:rsidP="00F665FE">
      <w:pPr>
        <w:jc w:val="both"/>
        <w:rPr>
          <w:sz w:val="24"/>
          <w:szCs w:val="24"/>
        </w:rPr>
      </w:pPr>
      <w:r w:rsidRPr="00A05681">
        <w:rPr>
          <w:sz w:val="24"/>
          <w:szCs w:val="24"/>
        </w:rPr>
        <w:t xml:space="preserve">Date for Review:  </w:t>
      </w:r>
      <w:r w:rsidR="00721DE2">
        <w:rPr>
          <w:sz w:val="24"/>
          <w:szCs w:val="24"/>
        </w:rPr>
        <w:t>October</w:t>
      </w:r>
      <w:r w:rsidR="00A51C28">
        <w:rPr>
          <w:sz w:val="24"/>
          <w:szCs w:val="24"/>
        </w:rPr>
        <w:t xml:space="preserve"> 202</w:t>
      </w:r>
      <w:r w:rsidR="00AC4271">
        <w:rPr>
          <w:sz w:val="24"/>
          <w:szCs w:val="24"/>
        </w:rPr>
        <w:t>3</w:t>
      </w:r>
    </w:p>
    <w:p w14:paraId="4E0AB1BD" w14:textId="77777777" w:rsidR="00F665FE" w:rsidRPr="00A05681" w:rsidRDefault="00F665FE" w:rsidP="00F665FE">
      <w:pPr>
        <w:jc w:val="both"/>
        <w:rPr>
          <w:rFonts w:cstheme="minorHAnsi"/>
          <w:sz w:val="24"/>
          <w:szCs w:val="24"/>
        </w:rPr>
      </w:pPr>
    </w:p>
    <w:p w14:paraId="0B518138" w14:textId="77777777" w:rsidR="00D35F42" w:rsidRPr="00D35F42" w:rsidRDefault="00D35F42" w:rsidP="00D35F42">
      <w:pPr>
        <w:rPr>
          <w:rFonts w:cstheme="minorHAnsi"/>
          <w:sz w:val="24"/>
          <w:szCs w:val="24"/>
          <w:highlight w:val="yellow"/>
        </w:rPr>
      </w:pPr>
    </w:p>
    <w:p w14:paraId="50D707DA" w14:textId="77777777" w:rsidR="00F665FE" w:rsidRDefault="00D35F42" w:rsidP="00A51C28">
      <w:pPr>
        <w:rPr>
          <w:rFonts w:cstheme="minorHAnsi"/>
          <w:sz w:val="24"/>
          <w:szCs w:val="24"/>
        </w:rPr>
      </w:pPr>
      <w:r w:rsidRPr="009D3415">
        <w:rPr>
          <w:rFonts w:cstheme="minorHAnsi"/>
          <w:sz w:val="24"/>
          <w:szCs w:val="24"/>
        </w:rPr>
        <w:t xml:space="preserve"> </w:t>
      </w:r>
      <w:r w:rsidR="00A51C28" w:rsidRPr="00A51C28">
        <w:rPr>
          <w:rFonts w:cstheme="minorHAnsi"/>
          <w:sz w:val="24"/>
          <w:szCs w:val="24"/>
        </w:rPr>
        <w:t xml:space="preserve">At </w:t>
      </w:r>
      <w:r w:rsidR="00A51C28">
        <w:rPr>
          <w:rFonts w:cstheme="minorHAnsi"/>
          <w:sz w:val="24"/>
          <w:szCs w:val="24"/>
        </w:rPr>
        <w:t>British Forces School Naples</w:t>
      </w:r>
      <w:r w:rsidR="00A51C28" w:rsidRPr="00A51C28">
        <w:rPr>
          <w:rFonts w:cstheme="minorHAnsi"/>
          <w:sz w:val="24"/>
          <w:szCs w:val="24"/>
        </w:rPr>
        <w:t xml:space="preserve"> </w:t>
      </w:r>
      <w:r w:rsidR="00A51C28">
        <w:rPr>
          <w:rFonts w:cstheme="minorHAnsi"/>
          <w:sz w:val="24"/>
          <w:szCs w:val="24"/>
        </w:rPr>
        <w:t>(BFS)</w:t>
      </w:r>
      <w:r w:rsidR="00A51C28" w:rsidRPr="00A51C28">
        <w:rPr>
          <w:rFonts w:cstheme="minorHAnsi"/>
          <w:sz w:val="24"/>
          <w:szCs w:val="24"/>
        </w:rPr>
        <w:t xml:space="preserve">, we are determined to meet the educational needs of all our pupils by working inclusively. We strongly believe that every teacher is a teacher of every pupil within our school, including those with SEND (Special Educational Needs and Disability). This provision is “additional to and different from that made generally for other children or young people of the same age.” (Code of Practice p.4). </w:t>
      </w:r>
      <w:r w:rsidR="00A51C28">
        <w:rPr>
          <w:rFonts w:cstheme="minorHAnsi"/>
          <w:sz w:val="24"/>
          <w:szCs w:val="24"/>
        </w:rPr>
        <w:t>BFS</w:t>
      </w:r>
      <w:r w:rsidR="00A51C28" w:rsidRPr="00A51C28">
        <w:rPr>
          <w:rFonts w:cstheme="minorHAnsi"/>
          <w:sz w:val="24"/>
          <w:szCs w:val="24"/>
        </w:rPr>
        <w:t xml:space="preserve"> is a well-resourced school meeting the needs of a diverse range of pupils: the majority of whom are service children. This means that many pupils experience frequent moves and may be with us for only one or two years. This makes it especially important that pupils’ individual needs are identified and met as soon as possible.</w:t>
      </w:r>
    </w:p>
    <w:p w14:paraId="64550D1C" w14:textId="77777777" w:rsidR="00A51C28" w:rsidRPr="00533808" w:rsidRDefault="00A51C28" w:rsidP="00A51C28">
      <w:pPr>
        <w:spacing w:after="0" w:line="240" w:lineRule="auto"/>
        <w:rPr>
          <w:rFonts w:cstheme="minorHAnsi"/>
          <w:sz w:val="24"/>
          <w:szCs w:val="24"/>
        </w:rPr>
      </w:pPr>
      <w:r w:rsidRPr="00533808">
        <w:rPr>
          <w:rFonts w:cstheme="minorHAnsi"/>
          <w:sz w:val="24"/>
          <w:szCs w:val="24"/>
        </w:rPr>
        <w:t xml:space="preserve">The SEND Code of Practice (updated May 2015) says: A child of compulsory school age or a young person has a learning difficulty or disability if he or she: </w:t>
      </w:r>
    </w:p>
    <w:p w14:paraId="2DE4DFFD" w14:textId="77777777" w:rsidR="00A51C28" w:rsidRPr="00533808" w:rsidRDefault="00A51C28" w:rsidP="00A51C28">
      <w:pPr>
        <w:pStyle w:val="ListParagraph"/>
        <w:numPr>
          <w:ilvl w:val="0"/>
          <w:numId w:val="30"/>
        </w:numPr>
        <w:spacing w:after="0" w:line="240" w:lineRule="auto"/>
        <w:rPr>
          <w:rFonts w:cstheme="minorHAnsi"/>
          <w:sz w:val="24"/>
          <w:szCs w:val="24"/>
        </w:rPr>
      </w:pPr>
      <w:r w:rsidRPr="00533808">
        <w:rPr>
          <w:rFonts w:cstheme="minorHAnsi"/>
          <w:sz w:val="24"/>
          <w:szCs w:val="24"/>
        </w:rPr>
        <w:t xml:space="preserve">has a significantly greater difficulty in learning than the majority of others of the same age </w:t>
      </w:r>
    </w:p>
    <w:p w14:paraId="4071A734" w14:textId="77777777" w:rsidR="00A51C28" w:rsidRPr="00533808" w:rsidRDefault="00A51C28" w:rsidP="00A51C28">
      <w:pPr>
        <w:pStyle w:val="ListParagraph"/>
        <w:numPr>
          <w:ilvl w:val="0"/>
          <w:numId w:val="30"/>
        </w:numPr>
        <w:spacing w:after="0" w:line="240" w:lineRule="auto"/>
        <w:rPr>
          <w:rFonts w:cstheme="minorHAnsi"/>
          <w:sz w:val="24"/>
          <w:szCs w:val="24"/>
        </w:rPr>
      </w:pPr>
      <w:r w:rsidRPr="00533808">
        <w:rPr>
          <w:rFonts w:cstheme="minorHAnsi"/>
          <w:sz w:val="24"/>
          <w:szCs w:val="24"/>
        </w:rPr>
        <w:t xml:space="preserve">has a disability which prevents or hinders him or her from making use of facilities of a kind generally provided for others of the same age in mainstream schools or mainstream post-16 institutions </w:t>
      </w:r>
    </w:p>
    <w:p w14:paraId="63285BDE" w14:textId="77777777" w:rsidR="00A51C28" w:rsidRPr="00533808" w:rsidRDefault="00A51C28" w:rsidP="00A51C28">
      <w:pPr>
        <w:spacing w:after="0" w:line="240" w:lineRule="auto"/>
        <w:rPr>
          <w:rFonts w:cstheme="minorHAnsi"/>
          <w:sz w:val="24"/>
          <w:szCs w:val="24"/>
        </w:rPr>
      </w:pPr>
    </w:p>
    <w:p w14:paraId="1E5935A8" w14:textId="77777777" w:rsidR="00A51C28" w:rsidRPr="00533808" w:rsidRDefault="00A51C28" w:rsidP="00A51C28">
      <w:pPr>
        <w:spacing w:after="0" w:line="240" w:lineRule="auto"/>
        <w:rPr>
          <w:rFonts w:cstheme="minorHAnsi"/>
          <w:sz w:val="24"/>
          <w:szCs w:val="24"/>
        </w:rPr>
      </w:pPr>
      <w:r w:rsidRPr="00533808">
        <w:rPr>
          <w:rFonts w:cstheme="minorHAnsi"/>
          <w:sz w:val="24"/>
          <w:szCs w:val="24"/>
        </w:rPr>
        <w:t xml:space="preserve">This policy complies with the statutory requirement laid out in the SEN Code of Practice 0-25 years (updated May 2015) 3.65 and has been written with reference to the following guidance and documents: </w:t>
      </w:r>
    </w:p>
    <w:p w14:paraId="5F6C37FC" w14:textId="77777777" w:rsidR="00A51C28" w:rsidRPr="00533808" w:rsidRDefault="00A51C28" w:rsidP="00A51C28">
      <w:pPr>
        <w:pStyle w:val="ListParagraph"/>
        <w:numPr>
          <w:ilvl w:val="0"/>
          <w:numId w:val="29"/>
        </w:numPr>
        <w:spacing w:after="0" w:line="240" w:lineRule="auto"/>
        <w:rPr>
          <w:rFonts w:cstheme="minorHAnsi"/>
          <w:sz w:val="24"/>
          <w:szCs w:val="24"/>
        </w:rPr>
      </w:pPr>
      <w:r w:rsidRPr="00533808">
        <w:rPr>
          <w:rFonts w:cstheme="minorHAnsi"/>
          <w:sz w:val="24"/>
          <w:szCs w:val="24"/>
        </w:rPr>
        <w:t xml:space="preserve">Equality Act 2010: advice for schools DfE (updated June 2014) </w:t>
      </w:r>
    </w:p>
    <w:p w14:paraId="55ACA31A" w14:textId="77777777" w:rsidR="00A51C28" w:rsidRPr="00533808" w:rsidRDefault="00A51C28" w:rsidP="00A51C28">
      <w:pPr>
        <w:pStyle w:val="ListParagraph"/>
        <w:numPr>
          <w:ilvl w:val="0"/>
          <w:numId w:val="29"/>
        </w:numPr>
        <w:spacing w:after="0" w:line="240" w:lineRule="auto"/>
        <w:rPr>
          <w:rFonts w:cstheme="minorHAnsi"/>
          <w:sz w:val="24"/>
          <w:szCs w:val="24"/>
        </w:rPr>
      </w:pPr>
      <w:r w:rsidRPr="00533808">
        <w:rPr>
          <w:rFonts w:cstheme="minorHAnsi"/>
          <w:sz w:val="24"/>
          <w:szCs w:val="24"/>
        </w:rPr>
        <w:t>SEN</w:t>
      </w:r>
      <w:r>
        <w:rPr>
          <w:rFonts w:cstheme="minorHAnsi"/>
          <w:sz w:val="24"/>
          <w:szCs w:val="24"/>
        </w:rPr>
        <w:t>D</w:t>
      </w:r>
      <w:r w:rsidRPr="00533808">
        <w:rPr>
          <w:rFonts w:cstheme="minorHAnsi"/>
          <w:sz w:val="24"/>
          <w:szCs w:val="24"/>
        </w:rPr>
        <w:t xml:space="preserve"> Code of Practice 0-25 (updated May 2015) </w:t>
      </w:r>
    </w:p>
    <w:p w14:paraId="5AF9ED24" w14:textId="77777777" w:rsidR="00A51C28" w:rsidRPr="00533808" w:rsidRDefault="00A51C28" w:rsidP="00A51C28">
      <w:pPr>
        <w:pStyle w:val="ListParagraph"/>
        <w:numPr>
          <w:ilvl w:val="0"/>
          <w:numId w:val="29"/>
        </w:numPr>
        <w:spacing w:after="0" w:line="240" w:lineRule="auto"/>
        <w:rPr>
          <w:rFonts w:cstheme="minorHAnsi"/>
          <w:sz w:val="24"/>
          <w:szCs w:val="24"/>
        </w:rPr>
      </w:pPr>
      <w:r w:rsidRPr="00533808">
        <w:rPr>
          <w:rFonts w:cstheme="minorHAnsi"/>
          <w:sz w:val="24"/>
          <w:szCs w:val="24"/>
        </w:rPr>
        <w:t xml:space="preserve">Schools SEND Information Report Regulations (2014) </w:t>
      </w:r>
    </w:p>
    <w:p w14:paraId="410B6FF8" w14:textId="77777777" w:rsidR="00A51C28" w:rsidRPr="00533808" w:rsidRDefault="00A51C28" w:rsidP="00A51C28">
      <w:pPr>
        <w:pStyle w:val="ListParagraph"/>
        <w:numPr>
          <w:ilvl w:val="0"/>
          <w:numId w:val="29"/>
        </w:numPr>
        <w:spacing w:after="0" w:line="240" w:lineRule="auto"/>
        <w:rPr>
          <w:rFonts w:cstheme="minorHAnsi"/>
          <w:sz w:val="24"/>
          <w:szCs w:val="24"/>
        </w:rPr>
      </w:pPr>
      <w:r w:rsidRPr="00533808">
        <w:rPr>
          <w:rFonts w:cstheme="minorHAnsi"/>
          <w:sz w:val="24"/>
          <w:szCs w:val="24"/>
        </w:rPr>
        <w:t xml:space="preserve">Statutory Guidance on supporting pupils at school with medical conditions (Sept 2017) </w:t>
      </w:r>
    </w:p>
    <w:p w14:paraId="6ED35A87" w14:textId="77777777" w:rsidR="00A51C28" w:rsidRPr="00533808" w:rsidRDefault="00A51C28" w:rsidP="00A51C28">
      <w:pPr>
        <w:pStyle w:val="ListParagraph"/>
        <w:numPr>
          <w:ilvl w:val="0"/>
          <w:numId w:val="29"/>
        </w:numPr>
        <w:spacing w:after="0" w:line="240" w:lineRule="auto"/>
        <w:rPr>
          <w:rFonts w:cstheme="minorHAnsi"/>
          <w:sz w:val="24"/>
          <w:szCs w:val="24"/>
        </w:rPr>
      </w:pPr>
      <w:r w:rsidRPr="00533808">
        <w:rPr>
          <w:rFonts w:cstheme="minorHAnsi"/>
          <w:sz w:val="24"/>
          <w:szCs w:val="24"/>
        </w:rPr>
        <w:t xml:space="preserve">The National Curriculum in England Key Stage 1 and 2 framework document (Sept 2014) </w:t>
      </w:r>
    </w:p>
    <w:p w14:paraId="3D44DA4A" w14:textId="77777777" w:rsidR="00A51C28" w:rsidRPr="00533808" w:rsidRDefault="00A51C28" w:rsidP="00A51C28">
      <w:pPr>
        <w:pStyle w:val="ListParagraph"/>
        <w:numPr>
          <w:ilvl w:val="0"/>
          <w:numId w:val="29"/>
        </w:numPr>
        <w:spacing w:after="0" w:line="240" w:lineRule="auto"/>
        <w:rPr>
          <w:rFonts w:cstheme="minorHAnsi"/>
          <w:sz w:val="24"/>
          <w:szCs w:val="24"/>
        </w:rPr>
      </w:pPr>
      <w:r w:rsidRPr="00533808">
        <w:rPr>
          <w:rFonts w:cstheme="minorHAnsi"/>
          <w:sz w:val="24"/>
          <w:szCs w:val="24"/>
        </w:rPr>
        <w:t xml:space="preserve">School Safeguarding policy </w:t>
      </w:r>
    </w:p>
    <w:p w14:paraId="15771C6E" w14:textId="77777777" w:rsidR="00A51C28" w:rsidRPr="00533808" w:rsidRDefault="00A51C28" w:rsidP="00A51C28">
      <w:pPr>
        <w:pStyle w:val="ListParagraph"/>
        <w:numPr>
          <w:ilvl w:val="0"/>
          <w:numId w:val="29"/>
        </w:numPr>
        <w:spacing w:after="0" w:line="240" w:lineRule="auto"/>
        <w:rPr>
          <w:rFonts w:cstheme="minorHAnsi"/>
          <w:sz w:val="24"/>
          <w:szCs w:val="24"/>
        </w:rPr>
      </w:pPr>
      <w:r w:rsidRPr="00533808">
        <w:rPr>
          <w:rFonts w:cstheme="minorHAnsi"/>
          <w:sz w:val="24"/>
          <w:szCs w:val="24"/>
        </w:rPr>
        <w:t xml:space="preserve">School Accessibility Plan </w:t>
      </w:r>
    </w:p>
    <w:p w14:paraId="158A6FBF" w14:textId="77777777" w:rsidR="00A51C28" w:rsidRPr="00533808" w:rsidRDefault="00A51C28" w:rsidP="00A51C28">
      <w:pPr>
        <w:pStyle w:val="ListParagraph"/>
        <w:spacing w:after="0" w:line="240" w:lineRule="auto"/>
        <w:ind w:left="1080"/>
        <w:rPr>
          <w:rFonts w:cstheme="minorHAnsi"/>
          <w:sz w:val="24"/>
          <w:szCs w:val="24"/>
        </w:rPr>
      </w:pPr>
    </w:p>
    <w:p w14:paraId="7AEDA64F" w14:textId="77777777" w:rsidR="00A51C28" w:rsidRPr="00F2391C" w:rsidRDefault="00A51C28" w:rsidP="00A51C28">
      <w:pPr>
        <w:spacing w:after="0" w:line="240" w:lineRule="auto"/>
        <w:rPr>
          <w:rFonts w:cstheme="minorHAnsi"/>
          <w:sz w:val="24"/>
          <w:szCs w:val="24"/>
        </w:rPr>
      </w:pPr>
      <w:r w:rsidRPr="00F2391C">
        <w:rPr>
          <w:rFonts w:cstheme="minorHAnsi"/>
          <w:sz w:val="24"/>
          <w:szCs w:val="24"/>
        </w:rPr>
        <w:t>This policy was created by the school’s SEN</w:t>
      </w:r>
      <w:r>
        <w:rPr>
          <w:rFonts w:cstheme="minorHAnsi"/>
          <w:sz w:val="24"/>
          <w:szCs w:val="24"/>
        </w:rPr>
        <w:t>D</w:t>
      </w:r>
      <w:r w:rsidRPr="00F2391C">
        <w:rPr>
          <w:rFonts w:cstheme="minorHAnsi"/>
          <w:sz w:val="24"/>
          <w:szCs w:val="24"/>
        </w:rPr>
        <w:t>CO with the SEN</w:t>
      </w:r>
      <w:r>
        <w:rPr>
          <w:rFonts w:cstheme="minorHAnsi"/>
          <w:sz w:val="24"/>
          <w:szCs w:val="24"/>
        </w:rPr>
        <w:t>D</w:t>
      </w:r>
      <w:r w:rsidRPr="00F2391C">
        <w:rPr>
          <w:rFonts w:cstheme="minorHAnsi"/>
          <w:sz w:val="24"/>
          <w:szCs w:val="24"/>
        </w:rPr>
        <w:t xml:space="preserve"> Governor in agreement with staff and representatives of parents of pupils with SEND and reflects the SEND code of practice 0-25 guidance. </w:t>
      </w:r>
    </w:p>
    <w:p w14:paraId="0A12202F" w14:textId="77777777" w:rsidR="00A51C28" w:rsidRPr="00F2391C" w:rsidRDefault="00A51C28" w:rsidP="00A51C28">
      <w:pPr>
        <w:spacing w:after="0" w:line="240" w:lineRule="auto"/>
        <w:rPr>
          <w:rFonts w:cstheme="minorHAnsi"/>
          <w:sz w:val="24"/>
          <w:szCs w:val="24"/>
        </w:rPr>
      </w:pPr>
      <w:r w:rsidRPr="00F2391C">
        <w:rPr>
          <w:rFonts w:cstheme="minorHAnsi"/>
          <w:sz w:val="24"/>
          <w:szCs w:val="24"/>
        </w:rPr>
        <w:t xml:space="preserve"> </w:t>
      </w:r>
    </w:p>
    <w:p w14:paraId="74696BBC" w14:textId="77777777" w:rsidR="00A51C28" w:rsidRPr="00F2391C" w:rsidRDefault="00A51C28" w:rsidP="00A51C28">
      <w:pPr>
        <w:spacing w:after="0" w:line="240" w:lineRule="auto"/>
        <w:rPr>
          <w:rFonts w:cstheme="minorHAnsi"/>
          <w:sz w:val="24"/>
          <w:szCs w:val="24"/>
        </w:rPr>
      </w:pPr>
      <w:r w:rsidRPr="00F2391C">
        <w:rPr>
          <w:rFonts w:cstheme="minorHAnsi"/>
          <w:sz w:val="24"/>
          <w:szCs w:val="24"/>
        </w:rPr>
        <w:t>SEN</w:t>
      </w:r>
      <w:r>
        <w:rPr>
          <w:rFonts w:cstheme="minorHAnsi"/>
          <w:sz w:val="24"/>
          <w:szCs w:val="24"/>
        </w:rPr>
        <w:t>D</w:t>
      </w:r>
      <w:r w:rsidRPr="00F2391C">
        <w:rPr>
          <w:rFonts w:cstheme="minorHAnsi"/>
          <w:sz w:val="24"/>
          <w:szCs w:val="24"/>
        </w:rPr>
        <w:t xml:space="preserve">CO:  </w:t>
      </w:r>
      <w:r>
        <w:rPr>
          <w:rFonts w:cstheme="minorHAnsi"/>
          <w:sz w:val="24"/>
          <w:szCs w:val="24"/>
        </w:rPr>
        <w:t>Mrs Leanne Wortley</w:t>
      </w:r>
      <w:r w:rsidRPr="00F2391C">
        <w:rPr>
          <w:rFonts w:cstheme="minorHAnsi"/>
          <w:sz w:val="24"/>
          <w:szCs w:val="24"/>
        </w:rPr>
        <w:t xml:space="preserve">                                        Telephone: </w:t>
      </w:r>
      <w:r w:rsidR="00721DE2">
        <w:rPr>
          <w:rFonts w:cstheme="minorHAnsi"/>
          <w:sz w:val="24"/>
          <w:szCs w:val="24"/>
        </w:rPr>
        <w:t>3475103211</w:t>
      </w:r>
    </w:p>
    <w:p w14:paraId="0B570223" w14:textId="77777777" w:rsidR="00A51C28" w:rsidRPr="00F2391C" w:rsidRDefault="00A51C28" w:rsidP="00A51C28">
      <w:pPr>
        <w:spacing w:after="0" w:line="240" w:lineRule="auto"/>
        <w:rPr>
          <w:rFonts w:cstheme="minorHAnsi"/>
          <w:sz w:val="24"/>
          <w:szCs w:val="24"/>
        </w:rPr>
      </w:pPr>
      <w:r w:rsidRPr="00F2391C">
        <w:rPr>
          <w:rFonts w:cstheme="minorHAnsi"/>
          <w:sz w:val="24"/>
          <w:szCs w:val="24"/>
        </w:rPr>
        <w:t xml:space="preserve"> </w:t>
      </w:r>
    </w:p>
    <w:p w14:paraId="23F9AF7D" w14:textId="77777777" w:rsidR="00A51C28" w:rsidRPr="00F2391C" w:rsidRDefault="00A51C28" w:rsidP="00A51C28">
      <w:pPr>
        <w:spacing w:after="0" w:line="240" w:lineRule="auto"/>
        <w:rPr>
          <w:rFonts w:cstheme="minorHAnsi"/>
          <w:sz w:val="24"/>
          <w:szCs w:val="24"/>
        </w:rPr>
      </w:pPr>
      <w:r w:rsidRPr="00F2391C">
        <w:rPr>
          <w:rFonts w:cstheme="minorHAnsi"/>
          <w:sz w:val="24"/>
          <w:szCs w:val="24"/>
        </w:rPr>
        <w:t>The SEN</w:t>
      </w:r>
      <w:r>
        <w:rPr>
          <w:rFonts w:cstheme="minorHAnsi"/>
          <w:sz w:val="24"/>
          <w:szCs w:val="24"/>
        </w:rPr>
        <w:t>D</w:t>
      </w:r>
      <w:r w:rsidRPr="00F2391C">
        <w:rPr>
          <w:rFonts w:cstheme="minorHAnsi"/>
          <w:sz w:val="24"/>
          <w:szCs w:val="24"/>
        </w:rPr>
        <w:t xml:space="preserve">CO is part of the SLT (Senior Leadership Team). </w:t>
      </w:r>
    </w:p>
    <w:p w14:paraId="3CCE1FC8" w14:textId="77777777" w:rsidR="00A51C28" w:rsidRPr="009D3415" w:rsidRDefault="00A51C28" w:rsidP="00A51C28">
      <w:pPr>
        <w:rPr>
          <w:rFonts w:cstheme="minorHAnsi"/>
          <w:b/>
          <w:sz w:val="24"/>
          <w:szCs w:val="24"/>
          <w:u w:val="single"/>
        </w:rPr>
      </w:pPr>
    </w:p>
    <w:p w14:paraId="4AA61F89" w14:textId="77777777" w:rsidR="006B4CB2" w:rsidRDefault="006B4CB2" w:rsidP="00F665FE">
      <w:pPr>
        <w:jc w:val="center"/>
        <w:rPr>
          <w:rFonts w:cstheme="minorHAnsi"/>
          <w:b/>
          <w:sz w:val="28"/>
          <w:szCs w:val="28"/>
          <w:u w:val="single"/>
        </w:rPr>
      </w:pPr>
    </w:p>
    <w:p w14:paraId="6214A97A" w14:textId="77777777" w:rsidR="00F665FE" w:rsidRPr="009D3415" w:rsidRDefault="00F665FE" w:rsidP="00F665FE">
      <w:pPr>
        <w:jc w:val="center"/>
        <w:rPr>
          <w:rFonts w:cstheme="minorHAnsi"/>
          <w:b/>
          <w:sz w:val="28"/>
          <w:szCs w:val="28"/>
          <w:u w:val="single"/>
        </w:rPr>
      </w:pPr>
      <w:r w:rsidRPr="009D3415">
        <w:rPr>
          <w:rFonts w:cstheme="minorHAnsi"/>
          <w:b/>
          <w:sz w:val="28"/>
          <w:szCs w:val="28"/>
          <w:u w:val="single"/>
        </w:rPr>
        <w:t>Policy Contents:</w:t>
      </w:r>
    </w:p>
    <w:tbl>
      <w:tblPr>
        <w:tblStyle w:val="TableGrid"/>
        <w:tblW w:w="9380" w:type="dxa"/>
        <w:tblLook w:val="04A0" w:firstRow="1" w:lastRow="0" w:firstColumn="1" w:lastColumn="0" w:noHBand="0" w:noVBand="1"/>
      </w:tblPr>
      <w:tblGrid>
        <w:gridCol w:w="2411"/>
        <w:gridCol w:w="6969"/>
      </w:tblGrid>
      <w:tr w:rsidR="00F665FE" w:rsidRPr="00D35F42" w14:paraId="3422AFD4" w14:textId="77777777" w:rsidTr="00D53CCF">
        <w:trPr>
          <w:trHeight w:val="391"/>
        </w:trPr>
        <w:tc>
          <w:tcPr>
            <w:tcW w:w="2411" w:type="dxa"/>
            <w:shd w:val="clear" w:color="auto" w:fill="C6D9F1" w:themeFill="text2" w:themeFillTint="33"/>
          </w:tcPr>
          <w:p w14:paraId="4DB69DF0" w14:textId="77777777" w:rsidR="00F665FE" w:rsidRPr="009D3415" w:rsidRDefault="00F665FE" w:rsidP="00D53CCF">
            <w:pPr>
              <w:jc w:val="center"/>
              <w:rPr>
                <w:rFonts w:cstheme="minorHAnsi"/>
                <w:b/>
                <w:sz w:val="24"/>
                <w:szCs w:val="24"/>
              </w:rPr>
            </w:pPr>
            <w:r w:rsidRPr="009D3415">
              <w:rPr>
                <w:rFonts w:cstheme="minorHAnsi"/>
                <w:b/>
                <w:sz w:val="24"/>
                <w:szCs w:val="24"/>
              </w:rPr>
              <w:lastRenderedPageBreak/>
              <w:t>Page:</w:t>
            </w:r>
          </w:p>
        </w:tc>
        <w:tc>
          <w:tcPr>
            <w:tcW w:w="6969" w:type="dxa"/>
            <w:shd w:val="clear" w:color="auto" w:fill="DBE5F1" w:themeFill="accent1" w:themeFillTint="33"/>
          </w:tcPr>
          <w:p w14:paraId="71D5DA40" w14:textId="77777777" w:rsidR="00F665FE" w:rsidRPr="009D3415" w:rsidRDefault="00F665FE" w:rsidP="00D53CCF">
            <w:pPr>
              <w:jc w:val="center"/>
              <w:rPr>
                <w:rFonts w:cstheme="minorHAnsi"/>
                <w:b/>
                <w:sz w:val="24"/>
                <w:szCs w:val="24"/>
              </w:rPr>
            </w:pPr>
            <w:r w:rsidRPr="009D3415">
              <w:rPr>
                <w:rFonts w:cstheme="minorHAnsi"/>
                <w:b/>
                <w:sz w:val="24"/>
                <w:szCs w:val="24"/>
              </w:rPr>
              <w:t>Content:</w:t>
            </w:r>
          </w:p>
        </w:tc>
      </w:tr>
      <w:tr w:rsidR="00F665FE" w:rsidRPr="00D35F42" w14:paraId="20B50A69" w14:textId="77777777" w:rsidTr="00D53CCF">
        <w:trPr>
          <w:trHeight w:val="823"/>
        </w:trPr>
        <w:tc>
          <w:tcPr>
            <w:tcW w:w="2411" w:type="dxa"/>
            <w:shd w:val="clear" w:color="auto" w:fill="F2F2F2" w:themeFill="background1" w:themeFillShade="F2"/>
          </w:tcPr>
          <w:p w14:paraId="31C0251E" w14:textId="77777777" w:rsidR="00F665FE" w:rsidRPr="009D3415" w:rsidRDefault="00721DE2" w:rsidP="00D53CCF">
            <w:pPr>
              <w:jc w:val="center"/>
              <w:rPr>
                <w:rFonts w:cstheme="minorHAnsi"/>
                <w:b/>
                <w:sz w:val="24"/>
                <w:szCs w:val="24"/>
              </w:rPr>
            </w:pPr>
            <w:r>
              <w:rPr>
                <w:rFonts w:cstheme="minorHAnsi"/>
                <w:b/>
                <w:sz w:val="24"/>
                <w:szCs w:val="24"/>
              </w:rPr>
              <w:t>4</w:t>
            </w:r>
          </w:p>
        </w:tc>
        <w:tc>
          <w:tcPr>
            <w:tcW w:w="6969" w:type="dxa"/>
          </w:tcPr>
          <w:p w14:paraId="335CC638" w14:textId="77777777" w:rsidR="00F665FE" w:rsidRPr="009D3415" w:rsidRDefault="009D3415" w:rsidP="00F665FE">
            <w:pPr>
              <w:pStyle w:val="ListParagraph"/>
              <w:numPr>
                <w:ilvl w:val="0"/>
                <w:numId w:val="9"/>
              </w:numPr>
              <w:rPr>
                <w:rFonts w:cstheme="minorHAnsi"/>
                <w:sz w:val="24"/>
                <w:szCs w:val="24"/>
              </w:rPr>
            </w:pPr>
            <w:r w:rsidRPr="009D3415">
              <w:rPr>
                <w:rFonts w:cstheme="minorHAnsi"/>
                <w:sz w:val="24"/>
                <w:szCs w:val="24"/>
              </w:rPr>
              <w:t>Aims for supporting pupils with SEND</w:t>
            </w:r>
          </w:p>
          <w:p w14:paraId="092D0F6A" w14:textId="77777777" w:rsidR="00F665FE" w:rsidRPr="009D3415" w:rsidRDefault="009D3415" w:rsidP="00F665FE">
            <w:pPr>
              <w:pStyle w:val="ListParagraph"/>
              <w:numPr>
                <w:ilvl w:val="0"/>
                <w:numId w:val="9"/>
              </w:numPr>
              <w:rPr>
                <w:rFonts w:cstheme="minorHAnsi"/>
                <w:sz w:val="24"/>
                <w:szCs w:val="24"/>
              </w:rPr>
            </w:pPr>
            <w:r w:rsidRPr="009D3415">
              <w:rPr>
                <w:rFonts w:cstheme="minorHAnsi"/>
                <w:sz w:val="24"/>
                <w:szCs w:val="24"/>
              </w:rPr>
              <w:t>Objectives for supporting pupils with SEND</w:t>
            </w:r>
          </w:p>
        </w:tc>
      </w:tr>
      <w:tr w:rsidR="00F665FE" w:rsidRPr="00D35F42" w14:paraId="662E0484" w14:textId="77777777" w:rsidTr="00D53CCF">
        <w:trPr>
          <w:trHeight w:val="836"/>
        </w:trPr>
        <w:tc>
          <w:tcPr>
            <w:tcW w:w="2411" w:type="dxa"/>
            <w:shd w:val="clear" w:color="auto" w:fill="F2F2F2" w:themeFill="background1" w:themeFillShade="F2"/>
          </w:tcPr>
          <w:p w14:paraId="5C5D1AC3" w14:textId="77777777" w:rsidR="00F665FE" w:rsidRPr="00501540" w:rsidRDefault="00721DE2" w:rsidP="00D53CCF">
            <w:pPr>
              <w:jc w:val="center"/>
              <w:rPr>
                <w:rFonts w:cstheme="minorHAnsi"/>
                <w:b/>
                <w:sz w:val="24"/>
                <w:szCs w:val="24"/>
              </w:rPr>
            </w:pPr>
            <w:r>
              <w:rPr>
                <w:rFonts w:cstheme="minorHAnsi"/>
                <w:b/>
                <w:sz w:val="24"/>
                <w:szCs w:val="24"/>
              </w:rPr>
              <w:t>5</w:t>
            </w:r>
          </w:p>
        </w:tc>
        <w:tc>
          <w:tcPr>
            <w:tcW w:w="6969" w:type="dxa"/>
          </w:tcPr>
          <w:p w14:paraId="7AD882A7" w14:textId="77777777" w:rsidR="00501540" w:rsidRDefault="00721DE2" w:rsidP="00F665FE">
            <w:pPr>
              <w:pStyle w:val="ListParagraph"/>
              <w:numPr>
                <w:ilvl w:val="0"/>
                <w:numId w:val="9"/>
              </w:numPr>
              <w:rPr>
                <w:rFonts w:cstheme="minorHAnsi"/>
                <w:sz w:val="24"/>
                <w:szCs w:val="24"/>
              </w:rPr>
            </w:pPr>
            <w:r>
              <w:rPr>
                <w:rFonts w:cstheme="minorHAnsi"/>
                <w:sz w:val="24"/>
                <w:szCs w:val="24"/>
              </w:rPr>
              <w:t>Inclusion of pupils with SEND</w:t>
            </w:r>
          </w:p>
          <w:p w14:paraId="5F193C5F" w14:textId="77777777" w:rsidR="00721DE2" w:rsidRPr="00501540" w:rsidRDefault="00721DE2" w:rsidP="00F665FE">
            <w:pPr>
              <w:pStyle w:val="ListParagraph"/>
              <w:numPr>
                <w:ilvl w:val="0"/>
                <w:numId w:val="9"/>
              </w:numPr>
              <w:rPr>
                <w:rFonts w:cstheme="minorHAnsi"/>
                <w:sz w:val="24"/>
                <w:szCs w:val="24"/>
              </w:rPr>
            </w:pPr>
            <w:r>
              <w:rPr>
                <w:rFonts w:cstheme="minorHAnsi"/>
                <w:sz w:val="24"/>
                <w:szCs w:val="24"/>
              </w:rPr>
              <w:t>Working in partnership with parents</w:t>
            </w:r>
          </w:p>
        </w:tc>
      </w:tr>
      <w:tr w:rsidR="00F665FE" w:rsidRPr="00D35F42" w14:paraId="389BF070" w14:textId="77777777" w:rsidTr="00747B29">
        <w:trPr>
          <w:trHeight w:val="575"/>
        </w:trPr>
        <w:tc>
          <w:tcPr>
            <w:tcW w:w="2411" w:type="dxa"/>
            <w:shd w:val="clear" w:color="auto" w:fill="F2F2F2" w:themeFill="background1" w:themeFillShade="F2"/>
          </w:tcPr>
          <w:p w14:paraId="0E702D66" w14:textId="77777777" w:rsidR="00F665FE" w:rsidRPr="00501540" w:rsidRDefault="00721DE2" w:rsidP="00721DE2">
            <w:pPr>
              <w:jc w:val="center"/>
              <w:rPr>
                <w:rFonts w:cstheme="minorHAnsi"/>
                <w:b/>
                <w:sz w:val="24"/>
                <w:szCs w:val="24"/>
              </w:rPr>
            </w:pPr>
            <w:r>
              <w:rPr>
                <w:rFonts w:cstheme="minorHAnsi"/>
                <w:b/>
                <w:sz w:val="24"/>
                <w:szCs w:val="24"/>
              </w:rPr>
              <w:t>6</w:t>
            </w:r>
          </w:p>
        </w:tc>
        <w:tc>
          <w:tcPr>
            <w:tcW w:w="6969" w:type="dxa"/>
          </w:tcPr>
          <w:p w14:paraId="008A55AF" w14:textId="77777777" w:rsidR="00F665FE" w:rsidRDefault="00F665FE" w:rsidP="00F665FE">
            <w:pPr>
              <w:pStyle w:val="ListParagraph"/>
              <w:numPr>
                <w:ilvl w:val="0"/>
                <w:numId w:val="9"/>
              </w:numPr>
              <w:rPr>
                <w:rFonts w:cstheme="minorHAnsi"/>
                <w:sz w:val="24"/>
                <w:szCs w:val="24"/>
              </w:rPr>
            </w:pPr>
            <w:r w:rsidRPr="00501540">
              <w:rPr>
                <w:rFonts w:cstheme="minorHAnsi"/>
                <w:sz w:val="24"/>
                <w:szCs w:val="24"/>
              </w:rPr>
              <w:t xml:space="preserve"> </w:t>
            </w:r>
            <w:r w:rsidR="00747B29">
              <w:rPr>
                <w:rFonts w:cstheme="minorHAnsi"/>
                <w:sz w:val="24"/>
                <w:szCs w:val="24"/>
              </w:rPr>
              <w:t>Identifying Special Educational Needs Support</w:t>
            </w:r>
          </w:p>
          <w:p w14:paraId="5605D3D2" w14:textId="77777777" w:rsidR="00747B29" w:rsidRPr="00501540" w:rsidRDefault="00747B29" w:rsidP="00F665FE">
            <w:pPr>
              <w:pStyle w:val="ListParagraph"/>
              <w:numPr>
                <w:ilvl w:val="0"/>
                <w:numId w:val="9"/>
              </w:numPr>
              <w:rPr>
                <w:rFonts w:cstheme="minorHAnsi"/>
                <w:sz w:val="24"/>
                <w:szCs w:val="24"/>
              </w:rPr>
            </w:pPr>
            <w:r>
              <w:rPr>
                <w:rFonts w:cstheme="minorHAnsi"/>
                <w:sz w:val="24"/>
                <w:szCs w:val="24"/>
              </w:rPr>
              <w:t>The Graduated Approach</w:t>
            </w:r>
          </w:p>
        </w:tc>
      </w:tr>
      <w:tr w:rsidR="00747B29" w:rsidRPr="00D35F42" w14:paraId="5D4151EF" w14:textId="77777777" w:rsidTr="00747B29">
        <w:trPr>
          <w:trHeight w:val="575"/>
        </w:trPr>
        <w:tc>
          <w:tcPr>
            <w:tcW w:w="2411" w:type="dxa"/>
            <w:shd w:val="clear" w:color="auto" w:fill="F2F2F2" w:themeFill="background1" w:themeFillShade="F2"/>
          </w:tcPr>
          <w:p w14:paraId="5163D320" w14:textId="77777777" w:rsidR="00747B29" w:rsidRDefault="00747B29" w:rsidP="00721DE2">
            <w:pPr>
              <w:jc w:val="center"/>
              <w:rPr>
                <w:rFonts w:cstheme="minorHAnsi"/>
                <w:b/>
                <w:sz w:val="24"/>
                <w:szCs w:val="24"/>
              </w:rPr>
            </w:pPr>
            <w:r>
              <w:rPr>
                <w:rFonts w:cstheme="minorHAnsi"/>
                <w:b/>
                <w:sz w:val="24"/>
                <w:szCs w:val="24"/>
              </w:rPr>
              <w:t>7</w:t>
            </w:r>
          </w:p>
        </w:tc>
        <w:tc>
          <w:tcPr>
            <w:tcW w:w="6969" w:type="dxa"/>
          </w:tcPr>
          <w:p w14:paraId="7DA755AD" w14:textId="77777777" w:rsidR="00747B29" w:rsidRDefault="00747B29" w:rsidP="00F665FE">
            <w:pPr>
              <w:pStyle w:val="ListParagraph"/>
              <w:numPr>
                <w:ilvl w:val="0"/>
                <w:numId w:val="9"/>
              </w:numPr>
              <w:rPr>
                <w:rFonts w:cstheme="minorHAnsi"/>
                <w:sz w:val="24"/>
                <w:szCs w:val="24"/>
              </w:rPr>
            </w:pPr>
            <w:r>
              <w:rPr>
                <w:rFonts w:cstheme="minorHAnsi"/>
                <w:sz w:val="24"/>
                <w:szCs w:val="24"/>
              </w:rPr>
              <w:t>Universal Support</w:t>
            </w:r>
          </w:p>
          <w:p w14:paraId="178ED2FF" w14:textId="77777777" w:rsidR="00747B29" w:rsidRPr="00501540" w:rsidRDefault="00747B29" w:rsidP="00F665FE">
            <w:pPr>
              <w:pStyle w:val="ListParagraph"/>
              <w:numPr>
                <w:ilvl w:val="0"/>
                <w:numId w:val="9"/>
              </w:numPr>
              <w:rPr>
                <w:rFonts w:cstheme="minorHAnsi"/>
                <w:sz w:val="24"/>
                <w:szCs w:val="24"/>
              </w:rPr>
            </w:pPr>
            <w:r>
              <w:rPr>
                <w:rFonts w:cstheme="minorHAnsi"/>
                <w:sz w:val="24"/>
                <w:szCs w:val="24"/>
              </w:rPr>
              <w:t>Targeted Support</w:t>
            </w:r>
          </w:p>
        </w:tc>
      </w:tr>
      <w:tr w:rsidR="00747B29" w:rsidRPr="00D35F42" w14:paraId="09B598DF" w14:textId="77777777" w:rsidTr="00747B29">
        <w:trPr>
          <w:trHeight w:val="575"/>
        </w:trPr>
        <w:tc>
          <w:tcPr>
            <w:tcW w:w="2411" w:type="dxa"/>
            <w:shd w:val="clear" w:color="auto" w:fill="F2F2F2" w:themeFill="background1" w:themeFillShade="F2"/>
          </w:tcPr>
          <w:p w14:paraId="2DF11ABD" w14:textId="77777777" w:rsidR="00747B29" w:rsidRDefault="00747B29" w:rsidP="00721DE2">
            <w:pPr>
              <w:jc w:val="center"/>
              <w:rPr>
                <w:rFonts w:cstheme="minorHAnsi"/>
                <w:b/>
                <w:sz w:val="24"/>
                <w:szCs w:val="24"/>
              </w:rPr>
            </w:pPr>
            <w:r>
              <w:rPr>
                <w:rFonts w:cstheme="minorHAnsi"/>
                <w:b/>
                <w:sz w:val="24"/>
                <w:szCs w:val="24"/>
              </w:rPr>
              <w:t>8</w:t>
            </w:r>
          </w:p>
        </w:tc>
        <w:tc>
          <w:tcPr>
            <w:tcW w:w="6969" w:type="dxa"/>
          </w:tcPr>
          <w:p w14:paraId="159B8121" w14:textId="77777777" w:rsidR="00747B29" w:rsidRDefault="00747B29" w:rsidP="00F665FE">
            <w:pPr>
              <w:pStyle w:val="ListParagraph"/>
              <w:numPr>
                <w:ilvl w:val="0"/>
                <w:numId w:val="9"/>
              </w:numPr>
              <w:rPr>
                <w:rFonts w:cstheme="minorHAnsi"/>
                <w:sz w:val="24"/>
                <w:szCs w:val="24"/>
              </w:rPr>
            </w:pPr>
            <w:r>
              <w:rPr>
                <w:rFonts w:cstheme="minorHAnsi"/>
                <w:sz w:val="24"/>
                <w:szCs w:val="24"/>
              </w:rPr>
              <w:t>Specialist Support</w:t>
            </w:r>
          </w:p>
        </w:tc>
      </w:tr>
      <w:tr w:rsidR="00747B29" w:rsidRPr="00D35F42" w14:paraId="4ADC6C8D" w14:textId="77777777" w:rsidTr="00747B29">
        <w:trPr>
          <w:trHeight w:val="575"/>
        </w:trPr>
        <w:tc>
          <w:tcPr>
            <w:tcW w:w="2411" w:type="dxa"/>
            <w:shd w:val="clear" w:color="auto" w:fill="F2F2F2" w:themeFill="background1" w:themeFillShade="F2"/>
          </w:tcPr>
          <w:p w14:paraId="16B65A3D" w14:textId="77777777" w:rsidR="00747B29" w:rsidRDefault="00747B29" w:rsidP="00721DE2">
            <w:pPr>
              <w:jc w:val="center"/>
              <w:rPr>
                <w:rFonts w:cstheme="minorHAnsi"/>
                <w:b/>
                <w:sz w:val="24"/>
                <w:szCs w:val="24"/>
              </w:rPr>
            </w:pPr>
            <w:r>
              <w:rPr>
                <w:rFonts w:cstheme="minorHAnsi"/>
                <w:b/>
                <w:sz w:val="24"/>
                <w:szCs w:val="24"/>
              </w:rPr>
              <w:t>9</w:t>
            </w:r>
          </w:p>
        </w:tc>
        <w:tc>
          <w:tcPr>
            <w:tcW w:w="6969" w:type="dxa"/>
          </w:tcPr>
          <w:p w14:paraId="6CB0849D" w14:textId="77777777" w:rsidR="00747B29" w:rsidRDefault="00EE238D" w:rsidP="00F665FE">
            <w:pPr>
              <w:pStyle w:val="ListParagraph"/>
              <w:numPr>
                <w:ilvl w:val="0"/>
                <w:numId w:val="9"/>
              </w:numPr>
              <w:rPr>
                <w:rFonts w:cstheme="minorHAnsi"/>
                <w:sz w:val="24"/>
                <w:szCs w:val="24"/>
              </w:rPr>
            </w:pPr>
            <w:r>
              <w:rPr>
                <w:rFonts w:cstheme="minorHAnsi"/>
                <w:sz w:val="24"/>
                <w:szCs w:val="24"/>
              </w:rPr>
              <w:t>Managing pupils’ needs</w:t>
            </w:r>
          </w:p>
        </w:tc>
      </w:tr>
      <w:tr w:rsidR="00EE238D" w:rsidRPr="00D35F42" w14:paraId="2231E261" w14:textId="77777777" w:rsidTr="00747B29">
        <w:trPr>
          <w:trHeight w:val="575"/>
        </w:trPr>
        <w:tc>
          <w:tcPr>
            <w:tcW w:w="2411" w:type="dxa"/>
            <w:shd w:val="clear" w:color="auto" w:fill="F2F2F2" w:themeFill="background1" w:themeFillShade="F2"/>
          </w:tcPr>
          <w:p w14:paraId="053D3E42" w14:textId="77777777" w:rsidR="00EE238D" w:rsidRDefault="00EE238D" w:rsidP="00721DE2">
            <w:pPr>
              <w:jc w:val="center"/>
              <w:rPr>
                <w:rFonts w:cstheme="minorHAnsi"/>
                <w:b/>
                <w:sz w:val="24"/>
                <w:szCs w:val="24"/>
              </w:rPr>
            </w:pPr>
            <w:r>
              <w:rPr>
                <w:rFonts w:cstheme="minorHAnsi"/>
                <w:b/>
                <w:sz w:val="24"/>
                <w:szCs w:val="24"/>
              </w:rPr>
              <w:t>10</w:t>
            </w:r>
          </w:p>
        </w:tc>
        <w:tc>
          <w:tcPr>
            <w:tcW w:w="6969" w:type="dxa"/>
          </w:tcPr>
          <w:p w14:paraId="198A2612" w14:textId="77777777" w:rsidR="00EE238D" w:rsidRDefault="00EE238D" w:rsidP="00F665FE">
            <w:pPr>
              <w:pStyle w:val="ListParagraph"/>
              <w:numPr>
                <w:ilvl w:val="0"/>
                <w:numId w:val="9"/>
              </w:numPr>
              <w:rPr>
                <w:rFonts w:cstheme="minorHAnsi"/>
                <w:sz w:val="24"/>
                <w:szCs w:val="24"/>
              </w:rPr>
            </w:pPr>
            <w:r>
              <w:rPr>
                <w:rFonts w:cstheme="minorHAnsi"/>
                <w:sz w:val="24"/>
                <w:szCs w:val="24"/>
              </w:rPr>
              <w:t>Admissions procedures for children with SEND</w:t>
            </w:r>
          </w:p>
          <w:p w14:paraId="63E34DF0" w14:textId="77777777" w:rsidR="00EE238D" w:rsidRPr="00EE238D" w:rsidRDefault="00EE238D" w:rsidP="00EE238D">
            <w:pPr>
              <w:pStyle w:val="ListParagraph"/>
              <w:numPr>
                <w:ilvl w:val="0"/>
                <w:numId w:val="9"/>
              </w:numPr>
              <w:rPr>
                <w:rFonts w:cstheme="minorHAnsi"/>
                <w:sz w:val="24"/>
                <w:szCs w:val="24"/>
              </w:rPr>
            </w:pPr>
            <w:r>
              <w:rPr>
                <w:rFonts w:cstheme="minorHAnsi"/>
                <w:sz w:val="24"/>
                <w:szCs w:val="24"/>
              </w:rPr>
              <w:t>Training and Resources</w:t>
            </w:r>
          </w:p>
        </w:tc>
      </w:tr>
      <w:tr w:rsidR="00EE238D" w:rsidRPr="00D35F42" w14:paraId="69DA3A13" w14:textId="77777777" w:rsidTr="00747B29">
        <w:trPr>
          <w:trHeight w:val="575"/>
        </w:trPr>
        <w:tc>
          <w:tcPr>
            <w:tcW w:w="2411" w:type="dxa"/>
            <w:shd w:val="clear" w:color="auto" w:fill="F2F2F2" w:themeFill="background1" w:themeFillShade="F2"/>
          </w:tcPr>
          <w:p w14:paraId="6EC6762E" w14:textId="77777777" w:rsidR="00EE238D" w:rsidRDefault="00EE238D" w:rsidP="00721DE2">
            <w:pPr>
              <w:jc w:val="center"/>
              <w:rPr>
                <w:rFonts w:cstheme="minorHAnsi"/>
                <w:b/>
                <w:sz w:val="24"/>
                <w:szCs w:val="24"/>
              </w:rPr>
            </w:pPr>
            <w:r>
              <w:rPr>
                <w:rFonts w:cstheme="minorHAnsi"/>
                <w:b/>
                <w:sz w:val="24"/>
                <w:szCs w:val="24"/>
              </w:rPr>
              <w:t>11</w:t>
            </w:r>
          </w:p>
        </w:tc>
        <w:tc>
          <w:tcPr>
            <w:tcW w:w="6969" w:type="dxa"/>
          </w:tcPr>
          <w:p w14:paraId="4EB0C5D6" w14:textId="77777777" w:rsidR="00EE238D" w:rsidRDefault="00EE238D" w:rsidP="00F665FE">
            <w:pPr>
              <w:pStyle w:val="ListParagraph"/>
              <w:numPr>
                <w:ilvl w:val="0"/>
                <w:numId w:val="9"/>
              </w:numPr>
              <w:rPr>
                <w:rFonts w:cstheme="minorHAnsi"/>
                <w:sz w:val="24"/>
                <w:szCs w:val="24"/>
              </w:rPr>
            </w:pPr>
            <w:r>
              <w:rPr>
                <w:rFonts w:cstheme="minorHAnsi"/>
                <w:sz w:val="24"/>
                <w:szCs w:val="24"/>
              </w:rPr>
              <w:t>Roles and Responsibilities</w:t>
            </w:r>
          </w:p>
          <w:p w14:paraId="6EA277C9" w14:textId="77777777" w:rsidR="00EE238D" w:rsidRDefault="00EE238D" w:rsidP="00F665FE">
            <w:pPr>
              <w:pStyle w:val="ListParagraph"/>
              <w:numPr>
                <w:ilvl w:val="0"/>
                <w:numId w:val="9"/>
              </w:numPr>
              <w:rPr>
                <w:rFonts w:cstheme="minorHAnsi"/>
                <w:sz w:val="24"/>
                <w:szCs w:val="24"/>
              </w:rPr>
            </w:pPr>
            <w:r>
              <w:rPr>
                <w:rFonts w:cstheme="minorHAnsi"/>
                <w:sz w:val="24"/>
                <w:szCs w:val="24"/>
              </w:rPr>
              <w:t>Equal Opportunities</w:t>
            </w:r>
          </w:p>
        </w:tc>
      </w:tr>
      <w:tr w:rsidR="00EE238D" w:rsidRPr="00D35F42" w14:paraId="0CB04BC6" w14:textId="77777777" w:rsidTr="00747B29">
        <w:trPr>
          <w:trHeight w:val="575"/>
        </w:trPr>
        <w:tc>
          <w:tcPr>
            <w:tcW w:w="2411" w:type="dxa"/>
            <w:shd w:val="clear" w:color="auto" w:fill="F2F2F2" w:themeFill="background1" w:themeFillShade="F2"/>
          </w:tcPr>
          <w:p w14:paraId="73F2E602" w14:textId="77777777" w:rsidR="00EE238D" w:rsidRDefault="00EE238D" w:rsidP="00721DE2">
            <w:pPr>
              <w:jc w:val="center"/>
              <w:rPr>
                <w:rFonts w:cstheme="minorHAnsi"/>
                <w:b/>
                <w:sz w:val="24"/>
                <w:szCs w:val="24"/>
              </w:rPr>
            </w:pPr>
            <w:r>
              <w:rPr>
                <w:rFonts w:cstheme="minorHAnsi"/>
                <w:b/>
                <w:sz w:val="24"/>
                <w:szCs w:val="24"/>
              </w:rPr>
              <w:t>12</w:t>
            </w:r>
          </w:p>
        </w:tc>
        <w:tc>
          <w:tcPr>
            <w:tcW w:w="6969" w:type="dxa"/>
          </w:tcPr>
          <w:p w14:paraId="486EC546" w14:textId="77777777" w:rsidR="00EE238D" w:rsidRDefault="00EE238D" w:rsidP="00F665FE">
            <w:pPr>
              <w:pStyle w:val="ListParagraph"/>
              <w:numPr>
                <w:ilvl w:val="0"/>
                <w:numId w:val="9"/>
              </w:numPr>
              <w:rPr>
                <w:rFonts w:cstheme="minorHAnsi"/>
                <w:sz w:val="24"/>
                <w:szCs w:val="24"/>
              </w:rPr>
            </w:pPr>
            <w:r>
              <w:rPr>
                <w:rFonts w:cstheme="minorHAnsi"/>
                <w:sz w:val="24"/>
                <w:szCs w:val="24"/>
              </w:rPr>
              <w:t>Storing and Managing Data</w:t>
            </w:r>
          </w:p>
          <w:p w14:paraId="5C92F3A8" w14:textId="77777777" w:rsidR="00EE238D" w:rsidRDefault="00EE238D" w:rsidP="00F665FE">
            <w:pPr>
              <w:pStyle w:val="ListParagraph"/>
              <w:numPr>
                <w:ilvl w:val="0"/>
                <w:numId w:val="9"/>
              </w:numPr>
              <w:rPr>
                <w:rFonts w:cstheme="minorHAnsi"/>
                <w:sz w:val="24"/>
                <w:szCs w:val="24"/>
              </w:rPr>
            </w:pPr>
            <w:r>
              <w:rPr>
                <w:rFonts w:cstheme="minorHAnsi"/>
                <w:sz w:val="24"/>
                <w:szCs w:val="24"/>
              </w:rPr>
              <w:t>Managing Complaints</w:t>
            </w:r>
          </w:p>
          <w:p w14:paraId="0C9A5D16" w14:textId="77777777" w:rsidR="00EE238D" w:rsidRDefault="00EE238D" w:rsidP="00F665FE">
            <w:pPr>
              <w:pStyle w:val="ListParagraph"/>
              <w:numPr>
                <w:ilvl w:val="0"/>
                <w:numId w:val="9"/>
              </w:numPr>
              <w:rPr>
                <w:rFonts w:cstheme="minorHAnsi"/>
                <w:sz w:val="24"/>
                <w:szCs w:val="24"/>
              </w:rPr>
            </w:pPr>
            <w:r>
              <w:rPr>
                <w:rFonts w:cstheme="minorHAnsi"/>
                <w:sz w:val="24"/>
                <w:szCs w:val="24"/>
              </w:rPr>
              <w:t>Evaluating the success of provision</w:t>
            </w:r>
          </w:p>
          <w:p w14:paraId="18F1BB6F" w14:textId="77777777" w:rsidR="00EE238D" w:rsidRDefault="00EE238D" w:rsidP="00F665FE">
            <w:pPr>
              <w:pStyle w:val="ListParagraph"/>
              <w:numPr>
                <w:ilvl w:val="0"/>
                <w:numId w:val="9"/>
              </w:numPr>
              <w:rPr>
                <w:rFonts w:cstheme="minorHAnsi"/>
                <w:sz w:val="24"/>
                <w:szCs w:val="24"/>
              </w:rPr>
            </w:pPr>
            <w:r>
              <w:rPr>
                <w:rFonts w:cstheme="minorHAnsi"/>
                <w:sz w:val="24"/>
                <w:szCs w:val="24"/>
              </w:rPr>
              <w:t>Reviewing the policy</w:t>
            </w:r>
          </w:p>
        </w:tc>
      </w:tr>
      <w:tr w:rsidR="00F665FE" w:rsidRPr="00D35F42" w14:paraId="4F0EDE76" w14:textId="77777777" w:rsidTr="00D53CCF">
        <w:trPr>
          <w:trHeight w:val="404"/>
        </w:trPr>
        <w:tc>
          <w:tcPr>
            <w:tcW w:w="2411" w:type="dxa"/>
            <w:shd w:val="clear" w:color="auto" w:fill="F2F2F2" w:themeFill="background1" w:themeFillShade="F2"/>
          </w:tcPr>
          <w:p w14:paraId="6257921E" w14:textId="77777777" w:rsidR="00F665FE" w:rsidRPr="00501540" w:rsidRDefault="00F665FE" w:rsidP="00D53CCF">
            <w:pPr>
              <w:jc w:val="center"/>
              <w:rPr>
                <w:rFonts w:cstheme="minorHAnsi"/>
                <w:b/>
                <w:sz w:val="24"/>
                <w:szCs w:val="24"/>
              </w:rPr>
            </w:pPr>
            <w:r w:rsidRPr="00501540">
              <w:rPr>
                <w:rFonts w:cstheme="minorHAnsi"/>
                <w:b/>
                <w:sz w:val="24"/>
                <w:szCs w:val="24"/>
              </w:rPr>
              <w:t>Appendix 1</w:t>
            </w:r>
          </w:p>
        </w:tc>
        <w:tc>
          <w:tcPr>
            <w:tcW w:w="6969" w:type="dxa"/>
          </w:tcPr>
          <w:p w14:paraId="548D62A9" w14:textId="77777777" w:rsidR="00F665FE" w:rsidRPr="00501540" w:rsidRDefault="00977C7C" w:rsidP="00D53CCF">
            <w:pPr>
              <w:rPr>
                <w:rFonts w:cstheme="minorHAnsi"/>
                <w:sz w:val="24"/>
                <w:szCs w:val="24"/>
              </w:rPr>
            </w:pPr>
            <w:r w:rsidRPr="00501540">
              <w:rPr>
                <w:rFonts w:cstheme="minorHAnsi"/>
                <w:sz w:val="24"/>
                <w:szCs w:val="24"/>
              </w:rPr>
              <w:t>The Phases of Graduated Response</w:t>
            </w:r>
          </w:p>
        </w:tc>
      </w:tr>
      <w:tr w:rsidR="00F665FE" w:rsidRPr="00D35F42" w14:paraId="71FB1EA0" w14:textId="77777777" w:rsidTr="00D53CCF">
        <w:trPr>
          <w:trHeight w:val="391"/>
        </w:trPr>
        <w:tc>
          <w:tcPr>
            <w:tcW w:w="2411" w:type="dxa"/>
            <w:shd w:val="clear" w:color="auto" w:fill="F2F2F2" w:themeFill="background1" w:themeFillShade="F2"/>
          </w:tcPr>
          <w:p w14:paraId="08793262" w14:textId="77777777" w:rsidR="00F665FE" w:rsidRPr="006B4CB2" w:rsidRDefault="00F665FE" w:rsidP="00D53CCF">
            <w:pPr>
              <w:jc w:val="center"/>
              <w:rPr>
                <w:rFonts w:cstheme="minorHAnsi"/>
                <w:b/>
                <w:sz w:val="24"/>
                <w:szCs w:val="24"/>
              </w:rPr>
            </w:pPr>
            <w:r w:rsidRPr="006B4CB2">
              <w:rPr>
                <w:rFonts w:cstheme="minorHAnsi"/>
                <w:b/>
                <w:sz w:val="24"/>
                <w:szCs w:val="24"/>
              </w:rPr>
              <w:t>Appendix 2</w:t>
            </w:r>
          </w:p>
        </w:tc>
        <w:tc>
          <w:tcPr>
            <w:tcW w:w="6969" w:type="dxa"/>
          </w:tcPr>
          <w:p w14:paraId="2C8E8117" w14:textId="77777777" w:rsidR="00F665FE" w:rsidRPr="006B4CB2" w:rsidRDefault="006B4CB2" w:rsidP="00D53CCF">
            <w:pPr>
              <w:rPr>
                <w:rFonts w:cstheme="minorHAnsi"/>
                <w:sz w:val="24"/>
                <w:szCs w:val="24"/>
              </w:rPr>
            </w:pPr>
            <w:r w:rsidRPr="006B4CB2">
              <w:rPr>
                <w:rFonts w:cstheme="minorHAnsi"/>
                <w:sz w:val="24"/>
                <w:szCs w:val="24"/>
              </w:rPr>
              <w:t>Initial Individual Learning Plan</w:t>
            </w:r>
            <w:r>
              <w:rPr>
                <w:rFonts w:cstheme="minorHAnsi"/>
                <w:sz w:val="24"/>
                <w:szCs w:val="24"/>
              </w:rPr>
              <w:t xml:space="preserve"> (ILP)</w:t>
            </w:r>
          </w:p>
        </w:tc>
      </w:tr>
      <w:tr w:rsidR="00F665FE" w:rsidRPr="00D35F42" w14:paraId="4374CCDC" w14:textId="77777777" w:rsidTr="00D53CCF">
        <w:trPr>
          <w:trHeight w:val="391"/>
        </w:trPr>
        <w:tc>
          <w:tcPr>
            <w:tcW w:w="2411" w:type="dxa"/>
            <w:shd w:val="clear" w:color="auto" w:fill="F2F2F2" w:themeFill="background1" w:themeFillShade="F2"/>
          </w:tcPr>
          <w:p w14:paraId="49D2E712" w14:textId="77777777" w:rsidR="00F665FE" w:rsidRPr="006B4CB2" w:rsidRDefault="00F665FE" w:rsidP="00D53CCF">
            <w:pPr>
              <w:jc w:val="center"/>
              <w:rPr>
                <w:rFonts w:cstheme="minorHAnsi"/>
                <w:b/>
                <w:sz w:val="24"/>
                <w:szCs w:val="24"/>
              </w:rPr>
            </w:pPr>
            <w:r w:rsidRPr="006B4CB2">
              <w:rPr>
                <w:rFonts w:cstheme="minorHAnsi"/>
                <w:b/>
                <w:sz w:val="24"/>
                <w:szCs w:val="24"/>
              </w:rPr>
              <w:t>Appendix 3</w:t>
            </w:r>
          </w:p>
        </w:tc>
        <w:tc>
          <w:tcPr>
            <w:tcW w:w="6969" w:type="dxa"/>
          </w:tcPr>
          <w:p w14:paraId="3AF77CA0" w14:textId="77777777" w:rsidR="00F665FE" w:rsidRPr="006B4CB2" w:rsidRDefault="006B4CB2" w:rsidP="00D53CCF">
            <w:pPr>
              <w:rPr>
                <w:rFonts w:cstheme="minorHAnsi"/>
                <w:sz w:val="24"/>
                <w:szCs w:val="24"/>
              </w:rPr>
            </w:pPr>
            <w:r>
              <w:rPr>
                <w:rFonts w:cstheme="minorHAnsi"/>
                <w:sz w:val="24"/>
                <w:szCs w:val="24"/>
              </w:rPr>
              <w:t>Individual Learning Plan Review</w:t>
            </w:r>
          </w:p>
        </w:tc>
      </w:tr>
    </w:tbl>
    <w:p w14:paraId="72E3D961" w14:textId="77777777" w:rsidR="006B4CB2" w:rsidRDefault="006B4CB2" w:rsidP="00106B81">
      <w:pPr>
        <w:rPr>
          <w:rFonts w:cstheme="minorHAnsi"/>
          <w:bCs/>
          <w:sz w:val="24"/>
          <w:szCs w:val="24"/>
          <w:lang w:val="en-US"/>
        </w:rPr>
      </w:pPr>
    </w:p>
    <w:p w14:paraId="2A1746B1" w14:textId="77777777" w:rsidR="006B4CB2" w:rsidRDefault="006B4CB2" w:rsidP="00106B81">
      <w:pPr>
        <w:rPr>
          <w:rFonts w:cstheme="minorHAnsi"/>
          <w:bCs/>
          <w:sz w:val="24"/>
          <w:szCs w:val="24"/>
          <w:lang w:val="en-US"/>
        </w:rPr>
      </w:pPr>
    </w:p>
    <w:p w14:paraId="59FFAFDE" w14:textId="77777777" w:rsidR="006B4CB2" w:rsidRDefault="006B4CB2" w:rsidP="00106B81">
      <w:pPr>
        <w:rPr>
          <w:rFonts w:cstheme="minorHAnsi"/>
          <w:bCs/>
          <w:sz w:val="24"/>
          <w:szCs w:val="24"/>
          <w:lang w:val="en-US"/>
        </w:rPr>
      </w:pPr>
    </w:p>
    <w:p w14:paraId="410AC0FF" w14:textId="77777777" w:rsidR="006B4CB2" w:rsidRDefault="006B4CB2" w:rsidP="00106B81">
      <w:pPr>
        <w:rPr>
          <w:rFonts w:cstheme="minorHAnsi"/>
          <w:bCs/>
          <w:sz w:val="24"/>
          <w:szCs w:val="24"/>
          <w:lang w:val="en-US"/>
        </w:rPr>
      </w:pPr>
    </w:p>
    <w:p w14:paraId="549ADF50" w14:textId="77777777" w:rsidR="00A51C28" w:rsidRDefault="00A51C28" w:rsidP="00106B81">
      <w:pPr>
        <w:rPr>
          <w:rFonts w:cstheme="minorHAnsi"/>
          <w:bCs/>
          <w:sz w:val="24"/>
          <w:szCs w:val="24"/>
          <w:lang w:val="en-US"/>
        </w:rPr>
      </w:pPr>
    </w:p>
    <w:p w14:paraId="5475D062" w14:textId="77777777" w:rsidR="00A51C28" w:rsidRDefault="00A51C28" w:rsidP="00106B81">
      <w:pPr>
        <w:rPr>
          <w:rFonts w:cstheme="minorHAnsi"/>
          <w:bCs/>
          <w:sz w:val="24"/>
          <w:szCs w:val="24"/>
          <w:lang w:val="en-US"/>
        </w:rPr>
      </w:pPr>
    </w:p>
    <w:p w14:paraId="46C83504" w14:textId="77777777" w:rsidR="00A51C28" w:rsidRDefault="00A51C28" w:rsidP="00106B81">
      <w:pPr>
        <w:rPr>
          <w:rFonts w:cstheme="minorHAnsi"/>
          <w:bCs/>
          <w:sz w:val="24"/>
          <w:szCs w:val="24"/>
          <w:lang w:val="en-US"/>
        </w:rPr>
      </w:pPr>
    </w:p>
    <w:p w14:paraId="09A6A622" w14:textId="77777777" w:rsidR="00A51C28" w:rsidRDefault="00A51C28" w:rsidP="00106B81">
      <w:pPr>
        <w:rPr>
          <w:rFonts w:cstheme="minorHAnsi"/>
          <w:bCs/>
          <w:sz w:val="24"/>
          <w:szCs w:val="24"/>
          <w:lang w:val="en-US"/>
        </w:rPr>
      </w:pPr>
    </w:p>
    <w:p w14:paraId="59402B5C" w14:textId="77777777" w:rsidR="00E153A5" w:rsidRDefault="00E153A5" w:rsidP="00A51C28">
      <w:pPr>
        <w:rPr>
          <w:rFonts w:cstheme="minorHAnsi"/>
          <w:bCs/>
          <w:sz w:val="24"/>
          <w:szCs w:val="24"/>
          <w:lang w:val="en-US"/>
        </w:rPr>
      </w:pPr>
    </w:p>
    <w:p w14:paraId="122CA131" w14:textId="77777777" w:rsidR="00AC4271" w:rsidRDefault="00AC4271" w:rsidP="00A51C28">
      <w:pPr>
        <w:rPr>
          <w:rFonts w:cstheme="minorHAnsi"/>
          <w:bCs/>
          <w:sz w:val="24"/>
          <w:szCs w:val="24"/>
        </w:rPr>
      </w:pPr>
    </w:p>
    <w:p w14:paraId="0DCC4D6E" w14:textId="19F2C999" w:rsidR="00A51C28" w:rsidRPr="00A51C28" w:rsidRDefault="00297BE2" w:rsidP="00A51C28">
      <w:pPr>
        <w:rPr>
          <w:rFonts w:cstheme="minorHAnsi"/>
          <w:bCs/>
          <w:sz w:val="24"/>
          <w:szCs w:val="24"/>
        </w:rPr>
      </w:pPr>
      <w:r>
        <w:rPr>
          <w:rFonts w:cstheme="minorHAnsi"/>
          <w:bCs/>
          <w:sz w:val="24"/>
          <w:szCs w:val="24"/>
        </w:rPr>
        <w:lastRenderedPageBreak/>
        <w:t xml:space="preserve">At </w:t>
      </w:r>
      <w:r w:rsidR="00974008">
        <w:rPr>
          <w:rFonts w:cstheme="minorHAnsi"/>
          <w:bCs/>
          <w:sz w:val="24"/>
          <w:szCs w:val="24"/>
        </w:rPr>
        <w:t xml:space="preserve">British Forces School </w:t>
      </w:r>
      <w:proofErr w:type="gramStart"/>
      <w:r w:rsidR="00974008">
        <w:rPr>
          <w:rFonts w:cstheme="minorHAnsi"/>
          <w:bCs/>
          <w:sz w:val="24"/>
          <w:szCs w:val="24"/>
        </w:rPr>
        <w:t>Naples</w:t>
      </w:r>
      <w:proofErr w:type="gramEnd"/>
      <w:r>
        <w:rPr>
          <w:rFonts w:cstheme="minorHAnsi"/>
          <w:bCs/>
          <w:sz w:val="24"/>
          <w:szCs w:val="24"/>
        </w:rPr>
        <w:t xml:space="preserve"> we</w:t>
      </w:r>
      <w:r w:rsidR="00A51C28" w:rsidRPr="00A51C28">
        <w:rPr>
          <w:rFonts w:cstheme="minorHAnsi"/>
          <w:bCs/>
          <w:sz w:val="24"/>
          <w:szCs w:val="24"/>
        </w:rPr>
        <w:t xml:space="preserve"> are fully committed to provide learning that is inclusive, and seek to promote a sense of community and belonging for all pupils. We positively endorse the principle that an educationally inclusive school is one in which the personal development and growth of every young person matters.  This SEND policy details how </w:t>
      </w:r>
      <w:r w:rsidR="00974008">
        <w:rPr>
          <w:rFonts w:cstheme="minorHAnsi"/>
          <w:bCs/>
          <w:sz w:val="24"/>
          <w:szCs w:val="24"/>
        </w:rPr>
        <w:t>British Forces School Naples</w:t>
      </w:r>
      <w:r w:rsidR="00A51C28" w:rsidRPr="00A51C28">
        <w:rPr>
          <w:rFonts w:cstheme="minorHAnsi"/>
          <w:bCs/>
          <w:sz w:val="24"/>
          <w:szCs w:val="24"/>
        </w:rPr>
        <w:t xml:space="preserve"> will do its best to ensure that the necessary provision is made for all pupils to achieve.  </w:t>
      </w:r>
    </w:p>
    <w:p w14:paraId="71C322BD" w14:textId="77777777" w:rsidR="00A51C28" w:rsidRPr="00A51C28" w:rsidRDefault="00A51C28" w:rsidP="00A51C28">
      <w:pPr>
        <w:rPr>
          <w:rFonts w:cstheme="minorHAnsi"/>
          <w:bCs/>
          <w:sz w:val="24"/>
          <w:szCs w:val="24"/>
        </w:rPr>
      </w:pPr>
      <w:r w:rsidRPr="0004704B">
        <w:rPr>
          <w:rFonts w:cstheme="minorHAnsi"/>
          <w:b/>
          <w:bCs/>
          <w:sz w:val="24"/>
          <w:szCs w:val="24"/>
          <w:u w:val="single"/>
        </w:rPr>
        <w:t>Aims for supporting SEND pupils</w:t>
      </w:r>
      <w:r w:rsidR="0004704B">
        <w:rPr>
          <w:rFonts w:cstheme="minorHAnsi"/>
          <w:bCs/>
          <w:sz w:val="24"/>
          <w:szCs w:val="24"/>
        </w:rPr>
        <w:t>:</w:t>
      </w:r>
    </w:p>
    <w:p w14:paraId="6618AC30"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We aim to raise the aspirations of, and expectations for all pupils, and particularly for those with SEND  </w:t>
      </w:r>
    </w:p>
    <w:p w14:paraId="5B928D45"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We aim to work collaboratively with all partners (e.g. keyworkers, parents, carers, pupils, teachers and outside agencies including medical, health visitors and educational support partners) to achieve the best outcomes for our pupils  </w:t>
      </w:r>
    </w:p>
    <w:p w14:paraId="2042761F" w14:textId="77777777" w:rsidR="00A51C28" w:rsidRDefault="00A51C28" w:rsidP="00A51C28">
      <w:pPr>
        <w:numPr>
          <w:ilvl w:val="0"/>
          <w:numId w:val="29"/>
        </w:numPr>
        <w:rPr>
          <w:rFonts w:cstheme="minorHAnsi"/>
          <w:bCs/>
          <w:sz w:val="24"/>
          <w:szCs w:val="24"/>
        </w:rPr>
      </w:pPr>
      <w:r w:rsidRPr="00A51C28">
        <w:rPr>
          <w:rFonts w:cstheme="minorHAnsi"/>
          <w:bCs/>
          <w:sz w:val="24"/>
          <w:szCs w:val="24"/>
        </w:rPr>
        <w:t xml:space="preserve">We aim for all children to have access to a broad, balanced curriculum and to participate in all experiences and activities provided by the school </w:t>
      </w:r>
    </w:p>
    <w:p w14:paraId="30BA45E0" w14:textId="77777777" w:rsidR="0004704B" w:rsidRPr="00A51C28" w:rsidRDefault="0004704B" w:rsidP="00A51C28">
      <w:pPr>
        <w:numPr>
          <w:ilvl w:val="0"/>
          <w:numId w:val="29"/>
        </w:numPr>
        <w:rPr>
          <w:rFonts w:cstheme="minorHAnsi"/>
          <w:bCs/>
          <w:sz w:val="24"/>
          <w:szCs w:val="24"/>
        </w:rPr>
      </w:pPr>
      <w:r>
        <w:rPr>
          <w:rFonts w:cstheme="minorHAnsi"/>
          <w:bCs/>
          <w:sz w:val="24"/>
          <w:szCs w:val="24"/>
        </w:rPr>
        <w:t>We aim to create an environment that meets the individual needs of all pupils</w:t>
      </w:r>
    </w:p>
    <w:p w14:paraId="75176835"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We aim to identify and celebrate the strengths of all pupils and use sensitive support where appropriate to aid inclusion </w:t>
      </w:r>
    </w:p>
    <w:p w14:paraId="1E059E2F"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We aim to raise the self-esteem of all pupils, especially those who come to us with negative feelings about themselves and their abilities </w:t>
      </w:r>
    </w:p>
    <w:p w14:paraId="58923E53" w14:textId="77777777" w:rsidR="00A51C28" w:rsidRPr="00A51C28" w:rsidRDefault="00A51C28" w:rsidP="00A51C28">
      <w:pPr>
        <w:rPr>
          <w:rFonts w:cstheme="minorHAnsi"/>
          <w:bCs/>
          <w:sz w:val="24"/>
          <w:szCs w:val="24"/>
        </w:rPr>
      </w:pPr>
    </w:p>
    <w:p w14:paraId="7D6DDA67" w14:textId="77777777" w:rsidR="00A51C28" w:rsidRPr="00A51C28" w:rsidRDefault="00A51C28" w:rsidP="00A51C28">
      <w:pPr>
        <w:rPr>
          <w:rFonts w:cstheme="minorHAnsi"/>
          <w:bCs/>
          <w:sz w:val="24"/>
          <w:szCs w:val="24"/>
        </w:rPr>
      </w:pPr>
      <w:r w:rsidRPr="0004704B">
        <w:rPr>
          <w:rFonts w:cstheme="minorHAnsi"/>
          <w:b/>
          <w:bCs/>
          <w:sz w:val="24"/>
          <w:szCs w:val="24"/>
          <w:u w:val="single"/>
        </w:rPr>
        <w:t>Objectives for supporting SEND pupils</w:t>
      </w:r>
      <w:r w:rsidR="0004704B">
        <w:rPr>
          <w:rFonts w:cstheme="minorHAnsi"/>
          <w:b/>
          <w:bCs/>
          <w:sz w:val="24"/>
          <w:szCs w:val="24"/>
        </w:rPr>
        <w:t>:</w:t>
      </w:r>
      <w:r w:rsidRPr="00A51C28">
        <w:rPr>
          <w:rFonts w:cstheme="minorHAnsi"/>
          <w:bCs/>
          <w:sz w:val="24"/>
          <w:szCs w:val="24"/>
        </w:rPr>
        <w:t xml:space="preserve"> </w:t>
      </w:r>
    </w:p>
    <w:p w14:paraId="7A60A2F7"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to identify and support pupils requiring SEND provision as early as possible on entry to our school </w:t>
      </w:r>
    </w:p>
    <w:p w14:paraId="6858E02E"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to provide a differentiated curriculum appropriate to the individual  </w:t>
      </w:r>
    </w:p>
    <w:p w14:paraId="349D27B1"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to involve parents/carers and pupils in decision making, and to keep parents/carers fully informed of their child’s progress and attainment </w:t>
      </w:r>
    </w:p>
    <w:p w14:paraId="0C08891F"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to involve children as much as possible in evaluating their own progress; setting objectives, and making decisions about their future SEND provision  </w:t>
      </w:r>
    </w:p>
    <w:p w14:paraId="3E81193E"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to provide support and advice for all staff working with pupils who have special educational needs and disabilities  </w:t>
      </w:r>
    </w:p>
    <w:p w14:paraId="79B23517"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lastRenderedPageBreak/>
        <w:t xml:space="preserve">to ensure all pupils are able to develop their individual learning strengths and preferences (visual, auditory, kinaesthetic) within an enriched learning environment  </w:t>
      </w:r>
    </w:p>
    <w:p w14:paraId="44AB9DD4"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to enable teachers to work in partnership with parents and carers to achieve the best outcomes for all pupils </w:t>
      </w:r>
    </w:p>
    <w:p w14:paraId="06D2AC34"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to work within the guidance of the SEND (Special Educational Needs and Disability) Code of Practice 2014, considering the guidance provided by MOD Schools  </w:t>
      </w:r>
    </w:p>
    <w:p w14:paraId="5B2506BA" w14:textId="77777777" w:rsidR="00A51C28" w:rsidRPr="00A51C28" w:rsidRDefault="00A51C28" w:rsidP="00A51C28">
      <w:pPr>
        <w:rPr>
          <w:rFonts w:cstheme="minorHAnsi"/>
          <w:bCs/>
          <w:sz w:val="24"/>
          <w:szCs w:val="24"/>
        </w:rPr>
      </w:pPr>
    </w:p>
    <w:p w14:paraId="3680047B" w14:textId="77777777" w:rsidR="00A51C28" w:rsidRPr="0004704B" w:rsidRDefault="00A51C28" w:rsidP="00A51C28">
      <w:pPr>
        <w:rPr>
          <w:rFonts w:cstheme="minorHAnsi"/>
          <w:b/>
          <w:bCs/>
          <w:sz w:val="24"/>
          <w:szCs w:val="24"/>
          <w:u w:val="single"/>
        </w:rPr>
      </w:pPr>
      <w:r w:rsidRPr="0004704B">
        <w:rPr>
          <w:rFonts w:cstheme="minorHAnsi"/>
          <w:b/>
          <w:bCs/>
          <w:sz w:val="24"/>
          <w:szCs w:val="24"/>
          <w:u w:val="single"/>
        </w:rPr>
        <w:t>Inclusion of pupils with SEND</w:t>
      </w:r>
    </w:p>
    <w:p w14:paraId="6838C6A3" w14:textId="77777777" w:rsidR="00A51C28" w:rsidRPr="00A51C28" w:rsidRDefault="00A51C28" w:rsidP="00A51C28">
      <w:pPr>
        <w:rPr>
          <w:rFonts w:cstheme="minorHAnsi"/>
          <w:bCs/>
          <w:sz w:val="24"/>
          <w:szCs w:val="24"/>
        </w:rPr>
      </w:pPr>
      <w:r w:rsidRPr="00A51C28">
        <w:rPr>
          <w:rFonts w:cstheme="minorHAnsi"/>
          <w:bCs/>
          <w:sz w:val="24"/>
          <w:szCs w:val="24"/>
        </w:rPr>
        <w:t xml:space="preserve">The </w:t>
      </w:r>
      <w:proofErr w:type="spellStart"/>
      <w:r w:rsidRPr="00A51C28">
        <w:rPr>
          <w:rFonts w:cstheme="minorHAnsi"/>
          <w:bCs/>
          <w:sz w:val="24"/>
          <w:szCs w:val="24"/>
        </w:rPr>
        <w:t>SENDCo</w:t>
      </w:r>
      <w:proofErr w:type="spellEnd"/>
      <w:r w:rsidRPr="00A51C28">
        <w:rPr>
          <w:rFonts w:cstheme="minorHAnsi"/>
          <w:bCs/>
          <w:sz w:val="24"/>
          <w:szCs w:val="24"/>
        </w:rPr>
        <w:t xml:space="preserve"> (Special Educational Needs and Disability Coordinator) and Senior Leadership Team oversee inclusion and are responsible for ensuring that inclusive practices are implemented effectively throughout the school. We aim to optimise opportunities for participation and achievement across all areas of school activity (social, curricular, physical) by:</w:t>
      </w:r>
    </w:p>
    <w:p w14:paraId="652940E4" w14:textId="77777777" w:rsidR="00A51C28" w:rsidRPr="00A51C28" w:rsidRDefault="00A51C28" w:rsidP="00A51C28">
      <w:pPr>
        <w:numPr>
          <w:ilvl w:val="0"/>
          <w:numId w:val="34"/>
        </w:numPr>
        <w:rPr>
          <w:rFonts w:cstheme="minorHAnsi"/>
          <w:bCs/>
          <w:sz w:val="24"/>
          <w:szCs w:val="24"/>
        </w:rPr>
      </w:pPr>
      <w:r w:rsidRPr="00A51C28">
        <w:rPr>
          <w:rFonts w:cstheme="minorHAnsi"/>
          <w:bCs/>
          <w:sz w:val="24"/>
          <w:szCs w:val="24"/>
        </w:rPr>
        <w:t xml:space="preserve">providing a balanced curriculum for all pupils both in and outside of the classroom, including play and interaction at mealtimes and playtimes, and extending to additional activities before or after school, school day trips and residential visits </w:t>
      </w:r>
    </w:p>
    <w:p w14:paraId="7AAB5752" w14:textId="77777777" w:rsidR="00A51C28" w:rsidRPr="00A51C28" w:rsidRDefault="00A51C28" w:rsidP="00A51C28">
      <w:pPr>
        <w:numPr>
          <w:ilvl w:val="0"/>
          <w:numId w:val="34"/>
        </w:numPr>
        <w:rPr>
          <w:rFonts w:cstheme="minorHAnsi"/>
          <w:bCs/>
          <w:sz w:val="24"/>
          <w:szCs w:val="24"/>
        </w:rPr>
      </w:pPr>
      <w:r w:rsidRPr="00A51C28">
        <w:rPr>
          <w:rFonts w:cstheme="minorHAnsi"/>
          <w:bCs/>
          <w:sz w:val="24"/>
          <w:szCs w:val="24"/>
        </w:rPr>
        <w:t>practicing teaching methods that suit the needs of individual pupils</w:t>
      </w:r>
    </w:p>
    <w:p w14:paraId="1A41E598" w14:textId="77777777" w:rsidR="00A51C28" w:rsidRPr="00A51C28" w:rsidRDefault="00A51C28" w:rsidP="00A51C28">
      <w:pPr>
        <w:numPr>
          <w:ilvl w:val="0"/>
          <w:numId w:val="34"/>
        </w:numPr>
        <w:rPr>
          <w:rFonts w:cstheme="minorHAnsi"/>
          <w:bCs/>
          <w:sz w:val="24"/>
          <w:szCs w:val="24"/>
        </w:rPr>
      </w:pPr>
      <w:r w:rsidRPr="00A51C28">
        <w:rPr>
          <w:rFonts w:cstheme="minorHAnsi"/>
          <w:bCs/>
          <w:sz w:val="24"/>
          <w:szCs w:val="24"/>
        </w:rPr>
        <w:t xml:space="preserve">promoting an inclusive culture throughout our school and encouraging social responsibility and understanding amongst all our pupils </w:t>
      </w:r>
    </w:p>
    <w:p w14:paraId="6D11B4FC" w14:textId="77777777" w:rsidR="00A51C28" w:rsidRPr="00A51C28" w:rsidRDefault="00A51C28" w:rsidP="00A51C28">
      <w:pPr>
        <w:rPr>
          <w:rFonts w:cstheme="minorHAnsi"/>
          <w:bCs/>
          <w:sz w:val="24"/>
          <w:szCs w:val="24"/>
        </w:rPr>
      </w:pPr>
    </w:p>
    <w:p w14:paraId="5B590D4C" w14:textId="77777777" w:rsidR="00A51C28" w:rsidRPr="0004704B" w:rsidRDefault="00A51C28" w:rsidP="00A51C28">
      <w:pPr>
        <w:rPr>
          <w:rFonts w:cstheme="minorHAnsi"/>
          <w:b/>
          <w:bCs/>
          <w:sz w:val="24"/>
          <w:szCs w:val="24"/>
          <w:u w:val="single"/>
        </w:rPr>
      </w:pPr>
      <w:r w:rsidRPr="0004704B">
        <w:rPr>
          <w:rFonts w:cstheme="minorHAnsi"/>
          <w:b/>
          <w:bCs/>
          <w:sz w:val="24"/>
          <w:szCs w:val="24"/>
          <w:u w:val="single"/>
        </w:rPr>
        <w:t xml:space="preserve">Working in partnership with parents </w:t>
      </w:r>
    </w:p>
    <w:p w14:paraId="0260103A" w14:textId="77777777" w:rsidR="00A51C28" w:rsidRPr="00A51C28" w:rsidRDefault="0004704B" w:rsidP="00A51C28">
      <w:pPr>
        <w:rPr>
          <w:rFonts w:cstheme="minorHAnsi"/>
          <w:bCs/>
          <w:sz w:val="24"/>
          <w:szCs w:val="24"/>
        </w:rPr>
      </w:pPr>
      <w:r>
        <w:rPr>
          <w:rFonts w:cstheme="minorHAnsi"/>
          <w:bCs/>
          <w:sz w:val="24"/>
          <w:szCs w:val="24"/>
        </w:rPr>
        <w:t>British Forces</w:t>
      </w:r>
      <w:r w:rsidR="00A51C28" w:rsidRPr="00A51C28">
        <w:rPr>
          <w:rFonts w:cstheme="minorHAnsi"/>
          <w:bCs/>
          <w:sz w:val="24"/>
          <w:szCs w:val="24"/>
        </w:rPr>
        <w:t xml:space="preserve"> school believes that a close working relationship with parents is vital in order to ensure: </w:t>
      </w:r>
    </w:p>
    <w:p w14:paraId="3A5B3EF6" w14:textId="77777777" w:rsidR="00A51C28" w:rsidRPr="00A51C28" w:rsidRDefault="00A51C28" w:rsidP="00A51C28">
      <w:pPr>
        <w:numPr>
          <w:ilvl w:val="0"/>
          <w:numId w:val="34"/>
        </w:numPr>
        <w:rPr>
          <w:rFonts w:cstheme="minorHAnsi"/>
          <w:bCs/>
          <w:sz w:val="24"/>
          <w:szCs w:val="24"/>
        </w:rPr>
      </w:pPr>
      <w:r w:rsidRPr="00A51C28">
        <w:rPr>
          <w:rFonts w:cstheme="minorHAnsi"/>
          <w:bCs/>
          <w:sz w:val="24"/>
          <w:szCs w:val="24"/>
        </w:rPr>
        <w:t xml:space="preserve">Early and accurate identification and assessment of SEND leading to the correct intervention and provision </w:t>
      </w:r>
    </w:p>
    <w:p w14:paraId="598B3E8E" w14:textId="77777777" w:rsidR="00A51C28" w:rsidRPr="00A51C28" w:rsidRDefault="00A51C28" w:rsidP="00A51C28">
      <w:pPr>
        <w:numPr>
          <w:ilvl w:val="0"/>
          <w:numId w:val="34"/>
        </w:numPr>
        <w:rPr>
          <w:rFonts w:cstheme="minorHAnsi"/>
          <w:bCs/>
          <w:sz w:val="24"/>
          <w:szCs w:val="24"/>
        </w:rPr>
      </w:pPr>
      <w:r w:rsidRPr="00A51C28">
        <w:rPr>
          <w:rFonts w:cstheme="minorHAnsi"/>
          <w:bCs/>
          <w:sz w:val="24"/>
          <w:szCs w:val="24"/>
        </w:rPr>
        <w:t xml:space="preserve">Continuing social and academic progress of children with SEND </w:t>
      </w:r>
    </w:p>
    <w:p w14:paraId="4DEBC09A" w14:textId="77777777" w:rsidR="00A51C28" w:rsidRPr="00A51C28" w:rsidRDefault="00A51C28" w:rsidP="00A51C28">
      <w:pPr>
        <w:numPr>
          <w:ilvl w:val="0"/>
          <w:numId w:val="34"/>
        </w:numPr>
        <w:rPr>
          <w:rFonts w:cstheme="minorHAnsi"/>
          <w:bCs/>
          <w:sz w:val="24"/>
          <w:szCs w:val="24"/>
        </w:rPr>
      </w:pPr>
      <w:r w:rsidRPr="00A51C28">
        <w:rPr>
          <w:rFonts w:cstheme="minorHAnsi"/>
          <w:bCs/>
          <w:sz w:val="24"/>
          <w:szCs w:val="24"/>
        </w:rPr>
        <w:t xml:space="preserve">Personal and academic outcomes are set and met effectively </w:t>
      </w:r>
    </w:p>
    <w:p w14:paraId="6848A6D0" w14:textId="77777777" w:rsidR="00A51C28" w:rsidRPr="00A51C28" w:rsidRDefault="00A51C28" w:rsidP="00A51C28">
      <w:pPr>
        <w:rPr>
          <w:rFonts w:cstheme="minorHAnsi"/>
          <w:bCs/>
          <w:sz w:val="24"/>
          <w:szCs w:val="24"/>
        </w:rPr>
      </w:pPr>
    </w:p>
    <w:p w14:paraId="463475B8" w14:textId="77777777" w:rsidR="00A51C28" w:rsidRPr="00A51C28" w:rsidRDefault="00A51C28" w:rsidP="00A51C28">
      <w:pPr>
        <w:rPr>
          <w:rFonts w:cstheme="minorHAnsi"/>
          <w:bCs/>
          <w:sz w:val="24"/>
          <w:szCs w:val="24"/>
        </w:rPr>
      </w:pPr>
      <w:r w:rsidRPr="00A51C28">
        <w:rPr>
          <w:rFonts w:cstheme="minorHAnsi"/>
          <w:bCs/>
          <w:sz w:val="24"/>
          <w:szCs w:val="24"/>
        </w:rPr>
        <w:lastRenderedPageBreak/>
        <w:t xml:space="preserve">The importance of parental involvement is highlighted in the principles underpinning the Special Educational Needs and Disability Code of Practice 2014 (updated May 2015), which must have regard to: </w:t>
      </w:r>
    </w:p>
    <w:p w14:paraId="6594ECDB" w14:textId="77777777" w:rsidR="00A51C28" w:rsidRPr="00A51C28" w:rsidRDefault="00A51C28" w:rsidP="00A51C28">
      <w:pPr>
        <w:numPr>
          <w:ilvl w:val="0"/>
          <w:numId w:val="34"/>
        </w:numPr>
        <w:rPr>
          <w:rFonts w:cstheme="minorHAnsi"/>
          <w:bCs/>
          <w:sz w:val="24"/>
          <w:szCs w:val="24"/>
        </w:rPr>
      </w:pPr>
      <w:r w:rsidRPr="00A51C28">
        <w:rPr>
          <w:rFonts w:cstheme="minorHAnsi"/>
          <w:bCs/>
          <w:sz w:val="24"/>
          <w:szCs w:val="24"/>
        </w:rPr>
        <w:t xml:space="preserve">The views, wishes and feelings of the child or young person, and the child’s parents </w:t>
      </w:r>
    </w:p>
    <w:p w14:paraId="1D4F85AC" w14:textId="77777777" w:rsidR="00A51C28" w:rsidRPr="00A51C28" w:rsidRDefault="00A51C28" w:rsidP="00A51C28">
      <w:pPr>
        <w:numPr>
          <w:ilvl w:val="0"/>
          <w:numId w:val="34"/>
        </w:numPr>
        <w:rPr>
          <w:rFonts w:cstheme="minorHAnsi"/>
          <w:bCs/>
          <w:sz w:val="24"/>
          <w:szCs w:val="24"/>
        </w:rPr>
      </w:pPr>
      <w:r w:rsidRPr="00A51C28">
        <w:rPr>
          <w:rFonts w:cstheme="minorHAnsi"/>
          <w:bCs/>
          <w:sz w:val="24"/>
          <w:szCs w:val="24"/>
        </w:rPr>
        <w:t xml:space="preserve">The importance of the child or young person, and the child’s parents, participating as fully as possible in decisions and being provided with the information and support necessary to enable participation in those decisions </w:t>
      </w:r>
    </w:p>
    <w:p w14:paraId="0EC7D17B" w14:textId="77777777" w:rsidR="00A51C28" w:rsidRPr="00A51C28" w:rsidRDefault="00A51C28" w:rsidP="00A51C28">
      <w:pPr>
        <w:numPr>
          <w:ilvl w:val="0"/>
          <w:numId w:val="34"/>
        </w:numPr>
        <w:rPr>
          <w:rFonts w:cstheme="minorHAnsi"/>
          <w:bCs/>
          <w:sz w:val="24"/>
          <w:szCs w:val="24"/>
        </w:rPr>
      </w:pPr>
      <w:r w:rsidRPr="00A51C28">
        <w:rPr>
          <w:rFonts w:cstheme="minorHAnsi"/>
          <w:bCs/>
          <w:sz w:val="24"/>
          <w:szCs w:val="24"/>
        </w:rPr>
        <w:t xml:space="preserve">The need to support the child or young person, and the child’s parents, in order to facilitate the development of the child or young person and to help them achieve the best possible educational and other outcomes, preparing them effectively for adulthood </w:t>
      </w:r>
    </w:p>
    <w:p w14:paraId="22BC25CA" w14:textId="77777777" w:rsidR="00A51C28" w:rsidRPr="00A51C28" w:rsidRDefault="00A51C28" w:rsidP="00A51C28">
      <w:pPr>
        <w:rPr>
          <w:rFonts w:cstheme="minorHAnsi"/>
          <w:bCs/>
          <w:sz w:val="24"/>
          <w:szCs w:val="24"/>
        </w:rPr>
      </w:pPr>
    </w:p>
    <w:p w14:paraId="27028283" w14:textId="77777777" w:rsidR="00A51C28" w:rsidRPr="00A51C28" w:rsidRDefault="00A51C28" w:rsidP="00A51C28">
      <w:pPr>
        <w:rPr>
          <w:rFonts w:cstheme="minorHAnsi"/>
          <w:bCs/>
          <w:sz w:val="24"/>
          <w:szCs w:val="24"/>
        </w:rPr>
      </w:pPr>
      <w:r w:rsidRPr="00A51C28">
        <w:rPr>
          <w:rFonts w:cstheme="minorHAnsi"/>
          <w:bCs/>
          <w:sz w:val="24"/>
          <w:szCs w:val="24"/>
        </w:rPr>
        <w:t xml:space="preserve">The school welcomes feedback from parents all year round and parents can make a confidential appointment to speak to any member of staff including the Headteacher, Deputy Head teacher, </w:t>
      </w:r>
      <w:proofErr w:type="spellStart"/>
      <w:r w:rsidRPr="00A51C28">
        <w:rPr>
          <w:rFonts w:cstheme="minorHAnsi"/>
          <w:bCs/>
          <w:sz w:val="24"/>
          <w:szCs w:val="24"/>
        </w:rPr>
        <w:t>SENDCo</w:t>
      </w:r>
      <w:proofErr w:type="spellEnd"/>
      <w:r w:rsidRPr="00A51C28">
        <w:rPr>
          <w:rFonts w:cstheme="minorHAnsi"/>
          <w:bCs/>
          <w:sz w:val="24"/>
          <w:szCs w:val="24"/>
        </w:rPr>
        <w:t xml:space="preserve"> throughout the year for any reason. </w:t>
      </w:r>
    </w:p>
    <w:p w14:paraId="2655A40C" w14:textId="77777777" w:rsidR="00A51C28" w:rsidRPr="00A51C28" w:rsidRDefault="00A51C28" w:rsidP="00A51C28">
      <w:pPr>
        <w:rPr>
          <w:rFonts w:cstheme="minorHAnsi"/>
          <w:bCs/>
          <w:sz w:val="24"/>
          <w:szCs w:val="24"/>
        </w:rPr>
      </w:pPr>
      <w:r w:rsidRPr="00A51C28">
        <w:rPr>
          <w:rFonts w:cstheme="minorHAnsi"/>
          <w:bCs/>
          <w:sz w:val="24"/>
          <w:szCs w:val="24"/>
        </w:rPr>
        <w:t xml:space="preserve">Parents will be kept up to date with their child’s progress through annual progress reports, during parent consultation meetings, informal conversations with staff and at SEND review meetings. Parents will always be able to speak to school staff privately about confidential issues. </w:t>
      </w:r>
    </w:p>
    <w:p w14:paraId="3E832CA3" w14:textId="77777777" w:rsidR="00A51C28" w:rsidRPr="00A51C28" w:rsidRDefault="00A51C28" w:rsidP="00A51C28">
      <w:pPr>
        <w:rPr>
          <w:rFonts w:cstheme="minorHAnsi"/>
          <w:b/>
          <w:bCs/>
          <w:sz w:val="24"/>
          <w:szCs w:val="24"/>
        </w:rPr>
      </w:pPr>
    </w:p>
    <w:p w14:paraId="49543F9B" w14:textId="77777777" w:rsidR="00A51C28" w:rsidRPr="0004704B" w:rsidRDefault="00A51C28" w:rsidP="00A51C28">
      <w:pPr>
        <w:rPr>
          <w:rFonts w:cstheme="minorHAnsi"/>
          <w:bCs/>
          <w:sz w:val="24"/>
          <w:szCs w:val="24"/>
          <w:u w:val="single"/>
        </w:rPr>
      </w:pPr>
      <w:r w:rsidRPr="0004704B">
        <w:rPr>
          <w:rFonts w:cstheme="minorHAnsi"/>
          <w:b/>
          <w:bCs/>
          <w:sz w:val="24"/>
          <w:szCs w:val="24"/>
          <w:u w:val="single"/>
        </w:rPr>
        <w:t>Identifying Special Educational Needs Support</w:t>
      </w:r>
      <w:r w:rsidRPr="0004704B">
        <w:rPr>
          <w:rFonts w:cstheme="minorHAnsi"/>
          <w:bCs/>
          <w:sz w:val="24"/>
          <w:szCs w:val="24"/>
          <w:u w:val="single"/>
        </w:rPr>
        <w:t xml:space="preserve"> </w:t>
      </w:r>
    </w:p>
    <w:p w14:paraId="401907B5" w14:textId="77777777" w:rsidR="00A51C28" w:rsidRPr="00A51C28" w:rsidRDefault="00A51C28" w:rsidP="00A51C28">
      <w:pPr>
        <w:rPr>
          <w:rFonts w:cstheme="minorHAnsi"/>
          <w:bCs/>
          <w:sz w:val="24"/>
          <w:szCs w:val="24"/>
        </w:rPr>
      </w:pPr>
      <w:r w:rsidRPr="00A51C28">
        <w:rPr>
          <w:rFonts w:cstheme="minorHAnsi"/>
          <w:bCs/>
          <w:sz w:val="24"/>
          <w:szCs w:val="24"/>
        </w:rPr>
        <w:t xml:space="preserve">There are four broad categories of need described in the 2014 Code of Practice:  </w:t>
      </w:r>
    </w:p>
    <w:p w14:paraId="1B4981E6"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communication and interaction  </w:t>
      </w:r>
    </w:p>
    <w:p w14:paraId="6E09118B"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cognition and learning </w:t>
      </w:r>
    </w:p>
    <w:p w14:paraId="6CF2FC27"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social, emotional and mental health difficulties  </w:t>
      </w:r>
    </w:p>
    <w:p w14:paraId="40C04B58" w14:textId="77777777" w:rsidR="00A51C28" w:rsidRPr="00A51C28" w:rsidRDefault="00A51C28" w:rsidP="00A51C28">
      <w:pPr>
        <w:numPr>
          <w:ilvl w:val="0"/>
          <w:numId w:val="29"/>
        </w:numPr>
        <w:rPr>
          <w:rFonts w:cstheme="minorHAnsi"/>
          <w:bCs/>
          <w:sz w:val="24"/>
          <w:szCs w:val="24"/>
        </w:rPr>
      </w:pPr>
      <w:r w:rsidRPr="00A51C28">
        <w:rPr>
          <w:rFonts w:cstheme="minorHAnsi"/>
          <w:bCs/>
          <w:sz w:val="24"/>
          <w:szCs w:val="24"/>
        </w:rPr>
        <w:t xml:space="preserve">sensory and/or physical needs  </w:t>
      </w:r>
    </w:p>
    <w:p w14:paraId="2C174D74" w14:textId="77777777" w:rsidR="00A51C28" w:rsidRPr="00A51C28" w:rsidRDefault="00A51C28" w:rsidP="00A51C28">
      <w:pPr>
        <w:rPr>
          <w:rFonts w:cstheme="minorHAnsi"/>
          <w:bCs/>
          <w:sz w:val="24"/>
          <w:szCs w:val="24"/>
        </w:rPr>
      </w:pPr>
      <w:r w:rsidRPr="00A51C28">
        <w:rPr>
          <w:rFonts w:cstheme="minorHAnsi"/>
          <w:bCs/>
          <w:sz w:val="24"/>
          <w:szCs w:val="24"/>
        </w:rPr>
        <w:t xml:space="preserve">Whilst these four categories broadly identify the primary areas of need, we acknowledge the importance of taking a holistic approach to identifying children’s individual educational needs. It needs to be considered that there are other factors which may impact on a child’s progress including: disability; attendance and punctuality; health and welfare; English as an Additional Language; being a looked-after child as well as the implications of our schools’ population consisting principally of service children.  </w:t>
      </w:r>
    </w:p>
    <w:p w14:paraId="150336DB" w14:textId="77777777" w:rsidR="00A51C28" w:rsidRPr="00A51C28" w:rsidRDefault="00A51C28" w:rsidP="00A51C28">
      <w:pPr>
        <w:rPr>
          <w:rFonts w:cstheme="minorHAnsi"/>
          <w:bCs/>
          <w:sz w:val="24"/>
          <w:szCs w:val="24"/>
        </w:rPr>
      </w:pPr>
    </w:p>
    <w:p w14:paraId="375C2FA0" w14:textId="77777777" w:rsidR="00A51C28" w:rsidRPr="0004704B" w:rsidRDefault="00A51C28" w:rsidP="00A51C28">
      <w:pPr>
        <w:rPr>
          <w:rFonts w:cstheme="minorHAnsi"/>
          <w:b/>
          <w:bCs/>
          <w:sz w:val="24"/>
          <w:szCs w:val="24"/>
          <w:u w:val="single"/>
        </w:rPr>
      </w:pPr>
      <w:r w:rsidRPr="0004704B">
        <w:rPr>
          <w:rFonts w:cstheme="minorHAnsi"/>
          <w:b/>
          <w:bCs/>
          <w:sz w:val="24"/>
          <w:szCs w:val="24"/>
          <w:u w:val="single"/>
        </w:rPr>
        <w:t>The Graduated Approach</w:t>
      </w:r>
    </w:p>
    <w:p w14:paraId="669BCC36" w14:textId="77777777" w:rsidR="00A51C28" w:rsidRPr="00A51C28" w:rsidRDefault="000E3445" w:rsidP="00A51C28">
      <w:pPr>
        <w:rPr>
          <w:rFonts w:cstheme="minorHAnsi"/>
          <w:bCs/>
          <w:sz w:val="24"/>
          <w:szCs w:val="24"/>
        </w:rPr>
      </w:pPr>
      <w:r w:rsidRPr="000E3445">
        <w:rPr>
          <w:rFonts w:cstheme="minorHAnsi"/>
          <w:bCs/>
          <w:sz w:val="24"/>
          <w:szCs w:val="24"/>
        </w:rPr>
        <w:t>A graduated approach to SEND support is embedded in our school/setting</w:t>
      </w:r>
      <w:r>
        <w:rPr>
          <w:rFonts w:cstheme="minorHAnsi"/>
          <w:bCs/>
          <w:sz w:val="24"/>
          <w:szCs w:val="24"/>
        </w:rPr>
        <w:t xml:space="preserve">.  </w:t>
      </w:r>
      <w:r w:rsidRPr="000E3445">
        <w:rPr>
          <w:rFonts w:cstheme="minorHAnsi"/>
          <w:bCs/>
          <w:sz w:val="24"/>
          <w:szCs w:val="24"/>
        </w:rPr>
        <w:t xml:space="preserve">The Assess-Plan–Do review cycle (see Appendix 1) is essential to the process of SEND support at all stages of the graduated response. The graduated approach starts at whole-school level. High quality teaching, differentiated for individual pupils is the first step in providing for all pupils, including those who may have SEND. Teachers are continually assessing, planning, implementing and reviewing their approach to teaching children. However, where a potential special educational need has been identified this cyclical process becomes increasingly personalised.  Core to this process is the importance placed on class teachers. Keeping this process evidenced and up to date is the responsibility of teachers and is monitored and supported by the </w:t>
      </w:r>
      <w:proofErr w:type="spellStart"/>
      <w:r w:rsidRPr="000E3445">
        <w:rPr>
          <w:rFonts w:cstheme="minorHAnsi"/>
          <w:bCs/>
          <w:sz w:val="24"/>
          <w:szCs w:val="24"/>
        </w:rPr>
        <w:t>SENDCo</w:t>
      </w:r>
      <w:proofErr w:type="spellEnd"/>
      <w:r w:rsidRPr="000E3445">
        <w:rPr>
          <w:rFonts w:cstheme="minorHAnsi"/>
          <w:bCs/>
          <w:sz w:val="24"/>
          <w:szCs w:val="24"/>
        </w:rPr>
        <w:t xml:space="preserve">. </w:t>
      </w:r>
      <w:r>
        <w:rPr>
          <w:rFonts w:cstheme="minorHAnsi"/>
          <w:bCs/>
          <w:sz w:val="24"/>
          <w:szCs w:val="24"/>
        </w:rPr>
        <w:t xml:space="preserve"> </w:t>
      </w:r>
      <w:r w:rsidR="00A51C28" w:rsidRPr="00A51C28">
        <w:rPr>
          <w:rFonts w:cstheme="minorHAnsi"/>
          <w:bCs/>
          <w:sz w:val="24"/>
          <w:szCs w:val="24"/>
        </w:rPr>
        <w:t>The leadership team monitors the quality of teaching and learning for all pupils on a regular basis.</w:t>
      </w:r>
    </w:p>
    <w:p w14:paraId="01F63193" w14:textId="77777777" w:rsidR="00A51C28" w:rsidRPr="0004704B" w:rsidRDefault="00A51C28" w:rsidP="00A51C28">
      <w:pPr>
        <w:rPr>
          <w:rFonts w:cstheme="minorHAnsi"/>
          <w:b/>
          <w:bCs/>
          <w:sz w:val="24"/>
          <w:szCs w:val="24"/>
          <w:u w:val="single"/>
        </w:rPr>
      </w:pPr>
      <w:r w:rsidRPr="0004704B">
        <w:rPr>
          <w:rFonts w:cstheme="minorHAnsi"/>
          <w:b/>
          <w:bCs/>
          <w:sz w:val="24"/>
          <w:szCs w:val="24"/>
          <w:u w:val="single"/>
        </w:rPr>
        <w:t>Universal support</w:t>
      </w:r>
    </w:p>
    <w:p w14:paraId="5CD894D7" w14:textId="77777777" w:rsidR="00A51C28" w:rsidRPr="00A51C28" w:rsidRDefault="00A51C28" w:rsidP="00A51C28">
      <w:pPr>
        <w:rPr>
          <w:rFonts w:cstheme="minorHAnsi"/>
          <w:bCs/>
          <w:sz w:val="24"/>
          <w:szCs w:val="24"/>
        </w:rPr>
      </w:pPr>
      <w:r w:rsidRPr="00A51C28">
        <w:rPr>
          <w:rFonts w:cstheme="minorHAnsi"/>
          <w:bCs/>
          <w:sz w:val="24"/>
          <w:szCs w:val="24"/>
        </w:rPr>
        <w:t xml:space="preserve">Having followed the schools/settings assessment, planning and teaching process a class teacher and parents may have emerging concerns about the progress of a pupil. </w:t>
      </w:r>
      <w:r w:rsidR="000E3445">
        <w:rPr>
          <w:rFonts w:cstheme="minorHAnsi"/>
          <w:bCs/>
          <w:sz w:val="24"/>
          <w:szCs w:val="24"/>
        </w:rPr>
        <w:t xml:space="preserve"> T</w:t>
      </w:r>
      <w:r w:rsidR="000E3445" w:rsidRPr="000E3445">
        <w:rPr>
          <w:rFonts w:cstheme="minorHAnsi"/>
          <w:bCs/>
          <w:sz w:val="24"/>
          <w:szCs w:val="24"/>
        </w:rPr>
        <w:t>he class teacher will identify using the Universal Checklist, any teaching methods and or strategies needed to be put in place to support a child</w:t>
      </w:r>
      <w:r w:rsidR="000E3445">
        <w:rPr>
          <w:rFonts w:cstheme="minorHAnsi"/>
          <w:bCs/>
          <w:sz w:val="24"/>
          <w:szCs w:val="24"/>
        </w:rPr>
        <w:t xml:space="preserve">. </w:t>
      </w:r>
      <w:r w:rsidR="000E3445" w:rsidRPr="000E3445">
        <w:rPr>
          <w:rFonts w:cstheme="minorHAnsi"/>
          <w:bCs/>
          <w:sz w:val="24"/>
          <w:szCs w:val="24"/>
        </w:rPr>
        <w:t xml:space="preserve"> </w:t>
      </w:r>
      <w:r w:rsidRPr="00A51C28">
        <w:rPr>
          <w:rFonts w:cstheme="minorHAnsi"/>
          <w:bCs/>
          <w:sz w:val="24"/>
          <w:szCs w:val="24"/>
        </w:rPr>
        <w:t xml:space="preserve">A meeting should be arranged with the parents so that their views can be sought, contributory factors identified and a course of action agreed. </w:t>
      </w:r>
      <w:r w:rsidR="000E3445" w:rsidRPr="000E3445">
        <w:rPr>
          <w:rFonts w:cstheme="minorHAnsi"/>
          <w:bCs/>
          <w:sz w:val="24"/>
          <w:szCs w:val="24"/>
        </w:rPr>
        <w:t xml:space="preserve">The documentation used for this is the Individual Learning Plan of SEND - Initial (ILP) supported by the Universal Support Checklists. </w:t>
      </w:r>
      <w:r w:rsidRPr="00A51C28">
        <w:rPr>
          <w:rFonts w:cstheme="minorHAnsi"/>
          <w:bCs/>
          <w:sz w:val="24"/>
          <w:szCs w:val="24"/>
        </w:rPr>
        <w:t xml:space="preserve">The class teacher and parent should arrange a date when they will meet to review the success of the agreed actions (the timescale of this should not exceed one term). The class teacher should meet again with the parents and the pupil (where appropriate) to review the outcomes in light of the agreed actions taken. In many instances the actions which have been put in place will help the pupil to make sufficient progress and there will be no need to move further through the process. However, if there has not been enough progress, it may be decided that a further term of action is necessary or it may be decided to involve the </w:t>
      </w:r>
      <w:proofErr w:type="spellStart"/>
      <w:r w:rsidRPr="00A51C28">
        <w:rPr>
          <w:rFonts w:cstheme="minorHAnsi"/>
          <w:bCs/>
          <w:sz w:val="24"/>
          <w:szCs w:val="24"/>
        </w:rPr>
        <w:t>SENDCo</w:t>
      </w:r>
      <w:proofErr w:type="spellEnd"/>
      <w:r w:rsidRPr="00A51C28">
        <w:rPr>
          <w:rFonts w:cstheme="minorHAnsi"/>
          <w:bCs/>
          <w:sz w:val="24"/>
          <w:szCs w:val="24"/>
        </w:rPr>
        <w:t xml:space="preserve"> at the review meeting and consider moving to targeted support.  </w:t>
      </w:r>
    </w:p>
    <w:p w14:paraId="7BD2DE09" w14:textId="77777777" w:rsidR="00A51C28" w:rsidRPr="0004704B" w:rsidRDefault="00A51C28" w:rsidP="00A51C28">
      <w:pPr>
        <w:rPr>
          <w:rFonts w:cstheme="minorHAnsi"/>
          <w:b/>
          <w:bCs/>
          <w:sz w:val="24"/>
          <w:szCs w:val="24"/>
          <w:u w:val="single"/>
        </w:rPr>
      </w:pPr>
      <w:r w:rsidRPr="0004704B">
        <w:rPr>
          <w:rFonts w:cstheme="minorHAnsi"/>
          <w:b/>
          <w:bCs/>
          <w:sz w:val="24"/>
          <w:szCs w:val="24"/>
          <w:u w:val="single"/>
        </w:rPr>
        <w:t>Targeted support</w:t>
      </w:r>
    </w:p>
    <w:p w14:paraId="639CFF9F" w14:textId="77777777" w:rsidR="00AA6142" w:rsidRPr="00AA6142" w:rsidRDefault="00A51C28" w:rsidP="00AA6142">
      <w:pPr>
        <w:rPr>
          <w:rFonts w:cstheme="minorHAnsi"/>
          <w:bCs/>
          <w:sz w:val="24"/>
          <w:szCs w:val="24"/>
        </w:rPr>
      </w:pPr>
      <w:r w:rsidRPr="00A51C28">
        <w:rPr>
          <w:rFonts w:cstheme="minorHAnsi"/>
          <w:bCs/>
          <w:sz w:val="24"/>
          <w:szCs w:val="24"/>
        </w:rPr>
        <w:t xml:space="preserve"> </w:t>
      </w:r>
      <w:r w:rsidR="00AA6142" w:rsidRPr="00AA6142">
        <w:rPr>
          <w:rFonts w:cstheme="minorHAnsi"/>
          <w:bCs/>
          <w:sz w:val="24"/>
          <w:szCs w:val="24"/>
        </w:rPr>
        <w:t xml:space="preserve">The class teacher will identify using the Targeted Support Checklist, any teaching methods and or strategies needed to be put in place to support a child and an ILP will be completed by the class teacher, </w:t>
      </w:r>
      <w:r w:rsidR="00807AFC">
        <w:rPr>
          <w:rFonts w:cstheme="minorHAnsi"/>
          <w:bCs/>
          <w:sz w:val="24"/>
          <w:szCs w:val="24"/>
        </w:rPr>
        <w:t xml:space="preserve">reviewed and </w:t>
      </w:r>
      <w:r w:rsidR="00AA6142" w:rsidRPr="00AA6142">
        <w:rPr>
          <w:rFonts w:cstheme="minorHAnsi"/>
          <w:bCs/>
          <w:sz w:val="24"/>
          <w:szCs w:val="24"/>
        </w:rPr>
        <w:t xml:space="preserve">contributed to by the SENDCO and parents and then shared and agreed with the child. A maximum of three SMART targets will be set based on the review of the Initial ILP.  </w:t>
      </w:r>
    </w:p>
    <w:p w14:paraId="19075673" w14:textId="77777777" w:rsidR="00A51C28" w:rsidRPr="00A51C28" w:rsidRDefault="00A51C28" w:rsidP="00A51C28">
      <w:pPr>
        <w:rPr>
          <w:rFonts w:cstheme="minorHAnsi"/>
          <w:bCs/>
          <w:sz w:val="24"/>
          <w:szCs w:val="24"/>
        </w:rPr>
      </w:pPr>
      <w:r w:rsidRPr="00A51C28">
        <w:rPr>
          <w:rFonts w:cstheme="minorHAnsi"/>
          <w:bCs/>
          <w:sz w:val="24"/>
          <w:szCs w:val="24"/>
        </w:rPr>
        <w:t xml:space="preserve">The </w:t>
      </w:r>
      <w:proofErr w:type="spellStart"/>
      <w:r w:rsidRPr="00A51C28">
        <w:rPr>
          <w:rFonts w:cstheme="minorHAnsi"/>
          <w:bCs/>
          <w:sz w:val="24"/>
          <w:szCs w:val="24"/>
        </w:rPr>
        <w:t>SENDCo</w:t>
      </w:r>
      <w:proofErr w:type="spellEnd"/>
      <w:r w:rsidRPr="00A51C28">
        <w:rPr>
          <w:rFonts w:cstheme="minorHAnsi"/>
          <w:bCs/>
          <w:sz w:val="24"/>
          <w:szCs w:val="24"/>
        </w:rPr>
        <w:t xml:space="preserve"> will be able to support the process of the Assess, Plan, Do, Review cycle in a variety of ways including:  </w:t>
      </w:r>
    </w:p>
    <w:p w14:paraId="498C2B88" w14:textId="77777777" w:rsidR="00A51C28" w:rsidRPr="00A51C28" w:rsidRDefault="00A51C28" w:rsidP="00A51C28">
      <w:pPr>
        <w:numPr>
          <w:ilvl w:val="0"/>
          <w:numId w:val="31"/>
        </w:numPr>
        <w:rPr>
          <w:rFonts w:cstheme="minorHAnsi"/>
          <w:bCs/>
          <w:sz w:val="24"/>
          <w:szCs w:val="24"/>
        </w:rPr>
      </w:pPr>
      <w:r w:rsidRPr="00A51C28">
        <w:rPr>
          <w:rFonts w:cstheme="minorHAnsi"/>
          <w:bCs/>
          <w:sz w:val="24"/>
          <w:szCs w:val="24"/>
        </w:rPr>
        <w:lastRenderedPageBreak/>
        <w:t xml:space="preserve">reviewing the interventions to date and identifying next steps  </w:t>
      </w:r>
    </w:p>
    <w:p w14:paraId="216ECB43" w14:textId="77777777" w:rsidR="00A51C28" w:rsidRPr="00A51C28" w:rsidRDefault="00A51C28" w:rsidP="00A51C28">
      <w:pPr>
        <w:numPr>
          <w:ilvl w:val="0"/>
          <w:numId w:val="31"/>
        </w:numPr>
        <w:rPr>
          <w:rFonts w:cstheme="minorHAnsi"/>
          <w:bCs/>
          <w:sz w:val="24"/>
          <w:szCs w:val="24"/>
        </w:rPr>
      </w:pPr>
      <w:r w:rsidRPr="00A51C28">
        <w:rPr>
          <w:rFonts w:cstheme="minorHAnsi"/>
          <w:bCs/>
          <w:sz w:val="24"/>
          <w:szCs w:val="24"/>
        </w:rPr>
        <w:t xml:space="preserve">carrying out further observations or assessments which will inform further planning  </w:t>
      </w:r>
    </w:p>
    <w:p w14:paraId="32788E6D" w14:textId="77777777" w:rsidR="00A51C28" w:rsidRPr="00A51C28" w:rsidRDefault="00A51C28" w:rsidP="00A51C28">
      <w:pPr>
        <w:numPr>
          <w:ilvl w:val="0"/>
          <w:numId w:val="31"/>
        </w:numPr>
        <w:rPr>
          <w:rFonts w:cstheme="minorHAnsi"/>
          <w:bCs/>
          <w:sz w:val="24"/>
          <w:szCs w:val="24"/>
        </w:rPr>
      </w:pPr>
      <w:r w:rsidRPr="00A51C28">
        <w:rPr>
          <w:rFonts w:cstheme="minorHAnsi"/>
          <w:bCs/>
          <w:sz w:val="24"/>
          <w:szCs w:val="24"/>
        </w:rPr>
        <w:t xml:space="preserve">advising about suitable additional intervention programmes  </w:t>
      </w:r>
    </w:p>
    <w:p w14:paraId="55FCB134" w14:textId="77777777" w:rsidR="00A51C28" w:rsidRPr="00A51C28" w:rsidRDefault="00A51C28" w:rsidP="00A51C28">
      <w:pPr>
        <w:numPr>
          <w:ilvl w:val="0"/>
          <w:numId w:val="31"/>
        </w:numPr>
        <w:rPr>
          <w:rFonts w:cstheme="minorHAnsi"/>
          <w:bCs/>
          <w:sz w:val="24"/>
          <w:szCs w:val="24"/>
        </w:rPr>
      </w:pPr>
      <w:r w:rsidRPr="00A51C28">
        <w:rPr>
          <w:rFonts w:cstheme="minorHAnsi"/>
          <w:bCs/>
          <w:sz w:val="24"/>
          <w:szCs w:val="24"/>
        </w:rPr>
        <w:t>providing guidance around the development of the Individual Learning plan</w:t>
      </w:r>
    </w:p>
    <w:p w14:paraId="5A270E47" w14:textId="77777777" w:rsidR="00A51C28" w:rsidRPr="00A51C28" w:rsidRDefault="00A51C28" w:rsidP="00A51C28">
      <w:pPr>
        <w:rPr>
          <w:rFonts w:cstheme="minorHAnsi"/>
          <w:bCs/>
          <w:sz w:val="24"/>
          <w:szCs w:val="24"/>
        </w:rPr>
      </w:pPr>
      <w:r w:rsidRPr="00A51C28">
        <w:rPr>
          <w:rFonts w:cstheme="minorHAnsi"/>
          <w:bCs/>
          <w:sz w:val="24"/>
          <w:szCs w:val="24"/>
        </w:rPr>
        <w:t xml:space="preserve">The class teacher, parent/carer, pupil, </w:t>
      </w:r>
      <w:proofErr w:type="spellStart"/>
      <w:r w:rsidRPr="00A51C28">
        <w:rPr>
          <w:rFonts w:cstheme="minorHAnsi"/>
          <w:bCs/>
          <w:sz w:val="24"/>
          <w:szCs w:val="24"/>
        </w:rPr>
        <w:t>SENDCo</w:t>
      </w:r>
      <w:proofErr w:type="spellEnd"/>
      <w:r w:rsidRPr="00A51C28">
        <w:rPr>
          <w:rFonts w:cstheme="minorHAnsi"/>
          <w:bCs/>
          <w:sz w:val="24"/>
          <w:szCs w:val="24"/>
        </w:rPr>
        <w:t xml:space="preserve">, LSA and other staff members will all carry out their parts of the agreed intervention plan and come together to review the outcome at the agreed date. At the review there are three possible outcomes:  </w:t>
      </w:r>
    </w:p>
    <w:p w14:paraId="275B9356" w14:textId="77777777" w:rsidR="00A51C28" w:rsidRPr="00A51C28" w:rsidRDefault="00A51C28" w:rsidP="00A51C28">
      <w:pPr>
        <w:numPr>
          <w:ilvl w:val="0"/>
          <w:numId w:val="33"/>
        </w:numPr>
        <w:rPr>
          <w:rFonts w:cstheme="minorHAnsi"/>
          <w:bCs/>
          <w:sz w:val="24"/>
          <w:szCs w:val="24"/>
        </w:rPr>
      </w:pPr>
      <w:r w:rsidRPr="00A51C28">
        <w:rPr>
          <w:rFonts w:cstheme="minorHAnsi"/>
          <w:bCs/>
          <w:sz w:val="24"/>
          <w:szCs w:val="24"/>
        </w:rPr>
        <w:t xml:space="preserve">There has been sufficient progress so that involvement of the </w:t>
      </w:r>
      <w:proofErr w:type="spellStart"/>
      <w:r w:rsidRPr="00A51C28">
        <w:rPr>
          <w:rFonts w:cstheme="minorHAnsi"/>
          <w:bCs/>
          <w:sz w:val="24"/>
          <w:szCs w:val="24"/>
        </w:rPr>
        <w:t>SENDCo</w:t>
      </w:r>
      <w:proofErr w:type="spellEnd"/>
      <w:r w:rsidRPr="00A51C28">
        <w:rPr>
          <w:rFonts w:cstheme="minorHAnsi"/>
          <w:bCs/>
          <w:sz w:val="24"/>
          <w:szCs w:val="24"/>
        </w:rPr>
        <w:t xml:space="preserve"> is no longer required and an agreement that the pupil’s needs can be met by the class teacher </w:t>
      </w:r>
    </w:p>
    <w:p w14:paraId="7F30000A" w14:textId="77777777" w:rsidR="00A51C28" w:rsidRPr="00A51C28" w:rsidRDefault="00A51C28" w:rsidP="00A51C28">
      <w:pPr>
        <w:numPr>
          <w:ilvl w:val="0"/>
          <w:numId w:val="33"/>
        </w:numPr>
        <w:rPr>
          <w:rFonts w:cstheme="minorHAnsi"/>
          <w:bCs/>
          <w:sz w:val="24"/>
          <w:szCs w:val="24"/>
        </w:rPr>
      </w:pPr>
      <w:r w:rsidRPr="00A51C28">
        <w:rPr>
          <w:rFonts w:cstheme="minorHAnsi"/>
          <w:bCs/>
          <w:sz w:val="24"/>
          <w:szCs w:val="24"/>
        </w:rPr>
        <w:t xml:space="preserve">Current interventions may need to continue or be adapted and a further review date agreed </w:t>
      </w:r>
    </w:p>
    <w:p w14:paraId="6F7E6981" w14:textId="77777777" w:rsidR="00A51C28" w:rsidRPr="00A51C28" w:rsidRDefault="00A51C28" w:rsidP="00A51C28">
      <w:pPr>
        <w:numPr>
          <w:ilvl w:val="0"/>
          <w:numId w:val="33"/>
        </w:numPr>
        <w:rPr>
          <w:rFonts w:cstheme="minorHAnsi"/>
          <w:bCs/>
          <w:sz w:val="24"/>
          <w:szCs w:val="24"/>
        </w:rPr>
      </w:pPr>
      <w:r w:rsidRPr="00A51C28">
        <w:rPr>
          <w:rFonts w:cstheme="minorHAnsi"/>
          <w:bCs/>
          <w:sz w:val="24"/>
          <w:szCs w:val="24"/>
        </w:rPr>
        <w:t xml:space="preserve">If the teacher, pupil, parents/carers and </w:t>
      </w:r>
      <w:proofErr w:type="spellStart"/>
      <w:r w:rsidRPr="00A51C28">
        <w:rPr>
          <w:rFonts w:cstheme="minorHAnsi"/>
          <w:bCs/>
          <w:sz w:val="24"/>
          <w:szCs w:val="24"/>
        </w:rPr>
        <w:t>SENDCo</w:t>
      </w:r>
      <w:proofErr w:type="spellEnd"/>
      <w:r w:rsidRPr="00A51C28">
        <w:rPr>
          <w:rFonts w:cstheme="minorHAnsi"/>
          <w:bCs/>
          <w:sz w:val="24"/>
          <w:szCs w:val="24"/>
        </w:rPr>
        <w:t xml:space="preserve"> remain concerned about a pupil’s progress following one or more of the above cycles it may be appropriate to consult with specialist agencies about the pupil. This next step should be discussed with the parents/carers and their consent for this gained </w:t>
      </w:r>
    </w:p>
    <w:p w14:paraId="5FA26D07" w14:textId="77777777" w:rsidR="00A51C28" w:rsidRPr="00A51C28" w:rsidRDefault="00A51C28" w:rsidP="00A51C28">
      <w:pPr>
        <w:rPr>
          <w:rFonts w:cstheme="minorHAnsi"/>
          <w:bCs/>
          <w:sz w:val="24"/>
          <w:szCs w:val="24"/>
        </w:rPr>
      </w:pPr>
    </w:p>
    <w:p w14:paraId="753D866C" w14:textId="77777777" w:rsidR="00A51C28" w:rsidRPr="00AA6142" w:rsidRDefault="00A51C28" w:rsidP="00A51C28">
      <w:pPr>
        <w:rPr>
          <w:rFonts w:cstheme="minorHAnsi"/>
          <w:b/>
          <w:bCs/>
          <w:sz w:val="24"/>
          <w:szCs w:val="24"/>
          <w:u w:val="single"/>
        </w:rPr>
      </w:pPr>
      <w:r w:rsidRPr="00AA6142">
        <w:rPr>
          <w:rFonts w:cstheme="minorHAnsi"/>
          <w:b/>
          <w:bCs/>
          <w:sz w:val="24"/>
          <w:szCs w:val="24"/>
          <w:u w:val="single"/>
        </w:rPr>
        <w:t>Specialist support</w:t>
      </w:r>
    </w:p>
    <w:p w14:paraId="545AD81E" w14:textId="7BD5BFAF" w:rsidR="00A51C28" w:rsidRPr="00A51C28" w:rsidRDefault="00AA6142" w:rsidP="00A51C28">
      <w:pPr>
        <w:rPr>
          <w:rFonts w:cstheme="minorHAnsi"/>
          <w:bCs/>
          <w:sz w:val="24"/>
          <w:szCs w:val="24"/>
        </w:rPr>
      </w:pPr>
      <w:r w:rsidRPr="00AA6142">
        <w:rPr>
          <w:rFonts w:cstheme="minorHAnsi"/>
          <w:bCs/>
          <w:sz w:val="24"/>
          <w:szCs w:val="24"/>
        </w:rPr>
        <w:t>At this stage external agencies e.g. Senior Educational Psychologist (SEP), Speech and Language Therapist (</w:t>
      </w:r>
      <w:proofErr w:type="spellStart"/>
      <w:r w:rsidRPr="00AA6142">
        <w:rPr>
          <w:rFonts w:cstheme="minorHAnsi"/>
          <w:bCs/>
          <w:sz w:val="24"/>
          <w:szCs w:val="24"/>
        </w:rPr>
        <w:t>SaLT</w:t>
      </w:r>
      <w:proofErr w:type="spellEnd"/>
      <w:r w:rsidRPr="00AA6142">
        <w:rPr>
          <w:rFonts w:cstheme="minorHAnsi"/>
          <w:bCs/>
          <w:sz w:val="24"/>
          <w:szCs w:val="24"/>
        </w:rPr>
        <w:t xml:space="preserve">) or Senior Educational Social Worker (SESW) </w:t>
      </w:r>
      <w:r w:rsidR="00A114EC">
        <w:rPr>
          <w:rFonts w:cstheme="minorHAnsi"/>
          <w:bCs/>
          <w:sz w:val="24"/>
          <w:szCs w:val="24"/>
        </w:rPr>
        <w:t>c</w:t>
      </w:r>
      <w:bookmarkStart w:id="0" w:name="_GoBack"/>
      <w:bookmarkEnd w:id="0"/>
      <w:r w:rsidRPr="00AA6142">
        <w:rPr>
          <w:rFonts w:cstheme="minorHAnsi"/>
          <w:bCs/>
          <w:sz w:val="24"/>
          <w:szCs w:val="24"/>
        </w:rPr>
        <w:t xml:space="preserve">ould be involved in and a Specialist Support ILP would be completed. </w:t>
      </w:r>
      <w:r w:rsidR="00A51C28" w:rsidRPr="00A51C28">
        <w:rPr>
          <w:rFonts w:cstheme="minorHAnsi"/>
          <w:bCs/>
          <w:sz w:val="24"/>
          <w:szCs w:val="24"/>
        </w:rPr>
        <w:t xml:space="preserve">The </w:t>
      </w:r>
      <w:proofErr w:type="spellStart"/>
      <w:r w:rsidR="00A51C28" w:rsidRPr="00A51C28">
        <w:rPr>
          <w:rFonts w:cstheme="minorHAnsi"/>
          <w:bCs/>
          <w:sz w:val="24"/>
          <w:szCs w:val="24"/>
        </w:rPr>
        <w:t>SENDCo</w:t>
      </w:r>
      <w:proofErr w:type="spellEnd"/>
      <w:r w:rsidR="00A51C28" w:rsidRPr="00A51C28">
        <w:rPr>
          <w:rFonts w:cstheme="minorHAnsi"/>
          <w:bCs/>
          <w:sz w:val="24"/>
          <w:szCs w:val="24"/>
        </w:rPr>
        <w:t xml:space="preserve"> should complete the relevant consent forms with the parent. Specialist support professionals will provide advice and support as appropriate. They may provide training or guidance for staff on appropriate interventions and in some cases, this can involve working with the child directly.  The Assess, Plan, Do, Review cycle should be followed using the additional advice and expertise from the specialist and the impact of this will be assessed at a review meeting with the </w:t>
      </w:r>
      <w:proofErr w:type="spellStart"/>
      <w:r w:rsidR="00A51C28" w:rsidRPr="00A51C28">
        <w:rPr>
          <w:rFonts w:cstheme="minorHAnsi"/>
          <w:bCs/>
          <w:sz w:val="24"/>
          <w:szCs w:val="24"/>
        </w:rPr>
        <w:t>SENDCo</w:t>
      </w:r>
      <w:proofErr w:type="spellEnd"/>
      <w:r w:rsidR="00A51C28" w:rsidRPr="00A51C28">
        <w:rPr>
          <w:rFonts w:cstheme="minorHAnsi"/>
          <w:bCs/>
          <w:sz w:val="24"/>
          <w:szCs w:val="24"/>
        </w:rPr>
        <w:t xml:space="preserve">, parents, teacher and the specialist.  At the review there are three possible outcomes:  </w:t>
      </w:r>
    </w:p>
    <w:p w14:paraId="3C21CC8B" w14:textId="77777777" w:rsidR="00A51C28" w:rsidRPr="00A51C28" w:rsidRDefault="00A51C28" w:rsidP="00A51C28">
      <w:pPr>
        <w:numPr>
          <w:ilvl w:val="0"/>
          <w:numId w:val="32"/>
        </w:numPr>
        <w:rPr>
          <w:rFonts w:cstheme="minorHAnsi"/>
          <w:bCs/>
          <w:sz w:val="24"/>
          <w:szCs w:val="24"/>
        </w:rPr>
      </w:pPr>
      <w:r w:rsidRPr="00A51C28">
        <w:rPr>
          <w:rFonts w:cstheme="minorHAnsi"/>
          <w:bCs/>
          <w:sz w:val="24"/>
          <w:szCs w:val="24"/>
        </w:rPr>
        <w:t xml:space="preserve">There has been sufficient progress so that involvement of the specialist is no longer required and an agreement that the pupil’s needs can be met using in-school expertise </w:t>
      </w:r>
    </w:p>
    <w:p w14:paraId="77B0BB92" w14:textId="77777777" w:rsidR="00A51C28" w:rsidRPr="00A51C28" w:rsidRDefault="00A51C28" w:rsidP="00A51C28">
      <w:pPr>
        <w:numPr>
          <w:ilvl w:val="0"/>
          <w:numId w:val="32"/>
        </w:numPr>
        <w:rPr>
          <w:rFonts w:cstheme="minorHAnsi"/>
          <w:bCs/>
          <w:sz w:val="24"/>
          <w:szCs w:val="24"/>
        </w:rPr>
      </w:pPr>
      <w:r w:rsidRPr="00A51C28">
        <w:rPr>
          <w:rFonts w:cstheme="minorHAnsi"/>
          <w:bCs/>
          <w:sz w:val="24"/>
          <w:szCs w:val="24"/>
        </w:rPr>
        <w:t xml:space="preserve">It may be that the current interventions need to continue or be adapted and a further review date agreed  </w:t>
      </w:r>
    </w:p>
    <w:p w14:paraId="5218D064" w14:textId="41CC1EC2" w:rsidR="00A51C28" w:rsidRPr="00A51C28" w:rsidRDefault="00A51C28" w:rsidP="00A51C28">
      <w:pPr>
        <w:numPr>
          <w:ilvl w:val="0"/>
          <w:numId w:val="32"/>
        </w:numPr>
        <w:rPr>
          <w:rFonts w:cstheme="minorHAnsi"/>
          <w:bCs/>
          <w:sz w:val="24"/>
          <w:szCs w:val="24"/>
        </w:rPr>
      </w:pPr>
      <w:r w:rsidRPr="00A51C28">
        <w:rPr>
          <w:rFonts w:cstheme="minorHAnsi"/>
          <w:bCs/>
          <w:sz w:val="24"/>
          <w:szCs w:val="24"/>
        </w:rPr>
        <w:lastRenderedPageBreak/>
        <w:t xml:space="preserve">If the teacher, pupil, parents/carers, teacher, </w:t>
      </w:r>
      <w:proofErr w:type="spellStart"/>
      <w:r w:rsidRPr="00A51C28">
        <w:rPr>
          <w:rFonts w:cstheme="minorHAnsi"/>
          <w:bCs/>
          <w:sz w:val="24"/>
          <w:szCs w:val="24"/>
        </w:rPr>
        <w:t>SENDCo</w:t>
      </w:r>
      <w:proofErr w:type="spellEnd"/>
      <w:r w:rsidRPr="00A51C28">
        <w:rPr>
          <w:rFonts w:cstheme="minorHAnsi"/>
          <w:bCs/>
          <w:sz w:val="24"/>
          <w:szCs w:val="24"/>
        </w:rPr>
        <w:t xml:space="preserve"> and specialist remain concerned about a pupil’s progress following one or more of the Assess, Plan, Do, Review cycles it may be felt useful to involve other professionals e.g. a paediatrician </w:t>
      </w:r>
    </w:p>
    <w:p w14:paraId="1CFF6C04" w14:textId="77777777" w:rsidR="00A51C28" w:rsidRPr="00A51C28" w:rsidRDefault="00A51C28" w:rsidP="00A51C28">
      <w:pPr>
        <w:numPr>
          <w:ilvl w:val="0"/>
          <w:numId w:val="32"/>
        </w:numPr>
        <w:rPr>
          <w:rFonts w:cstheme="minorHAnsi"/>
          <w:bCs/>
          <w:sz w:val="24"/>
          <w:szCs w:val="24"/>
        </w:rPr>
      </w:pPr>
      <w:r w:rsidRPr="00A51C28">
        <w:rPr>
          <w:rFonts w:cstheme="minorHAnsi"/>
          <w:bCs/>
          <w:sz w:val="24"/>
          <w:szCs w:val="24"/>
        </w:rPr>
        <w:t xml:space="preserve">It may be felt that the pupil’s needs are long term and likely to require a continuing high level of additional support in school or possibly special educational provision.  A very small number of children in MOD schools may be found to have long term/complex special educational needs and are likely to require a high level of support or special educational provision. These children may require an integrated assessment, similar to that carried out in the UK and referred to as an Education Health and Care Plan (EHCP). In MOD schools this is referred to as a SCAN (Service Children’s Assessment of Need).  It may also be felt that the provision in the overseas location is not sufficient to meet the needs of the child and an Emergent Needs MOD Assessment of Supportability Overseas (MASO) needs to take place.  </w:t>
      </w:r>
    </w:p>
    <w:p w14:paraId="0DDF8735" w14:textId="77777777" w:rsidR="00A51C28" w:rsidRPr="00A51C28" w:rsidRDefault="00A51C28" w:rsidP="00A51C28">
      <w:pPr>
        <w:rPr>
          <w:rFonts w:cstheme="minorHAnsi"/>
          <w:bCs/>
          <w:sz w:val="24"/>
          <w:szCs w:val="24"/>
        </w:rPr>
      </w:pPr>
      <w:r w:rsidRPr="00A51C28">
        <w:rPr>
          <w:rFonts w:cstheme="minorHAnsi"/>
          <w:bCs/>
          <w:sz w:val="24"/>
          <w:szCs w:val="24"/>
        </w:rPr>
        <w:t xml:space="preserve"> </w:t>
      </w:r>
    </w:p>
    <w:p w14:paraId="5352C71B" w14:textId="77777777" w:rsidR="00A51C28" w:rsidRPr="00AA6142" w:rsidRDefault="00A51C28" w:rsidP="00A51C28">
      <w:pPr>
        <w:rPr>
          <w:rFonts w:cstheme="minorHAnsi"/>
          <w:bCs/>
          <w:sz w:val="24"/>
          <w:szCs w:val="24"/>
          <w:u w:val="single"/>
        </w:rPr>
      </w:pPr>
      <w:r w:rsidRPr="00AA6142">
        <w:rPr>
          <w:rFonts w:cstheme="minorHAnsi"/>
          <w:b/>
          <w:bCs/>
          <w:sz w:val="24"/>
          <w:szCs w:val="24"/>
          <w:u w:val="single"/>
        </w:rPr>
        <w:t xml:space="preserve">Managing pupils’ needs </w:t>
      </w:r>
    </w:p>
    <w:p w14:paraId="29AD4242" w14:textId="77777777" w:rsidR="00A51C28" w:rsidRPr="00A51C28" w:rsidRDefault="00A51C28" w:rsidP="00A51C28">
      <w:pPr>
        <w:rPr>
          <w:rFonts w:cstheme="minorHAnsi"/>
          <w:bCs/>
          <w:sz w:val="24"/>
          <w:szCs w:val="24"/>
        </w:rPr>
      </w:pPr>
      <w:r w:rsidRPr="00A51C28">
        <w:rPr>
          <w:rFonts w:cstheme="minorHAnsi"/>
          <w:bCs/>
          <w:sz w:val="24"/>
          <w:szCs w:val="24"/>
        </w:rPr>
        <w:t xml:space="preserve">There is one single category of support which is known as SEND Support. Pupils and parents/carers are fully involved at every stage of the Graduated Response (as described above).  At the level of Targeted support in the Graduated Response the decision is made to place the name of the pupil on a SEND support list so that it is clear that the provision for these pupils is “additional to or different from” that made generally for other children or young people of the same age in a similar setting.  </w:t>
      </w:r>
    </w:p>
    <w:p w14:paraId="76D3A395" w14:textId="77777777" w:rsidR="00A51C28" w:rsidRPr="00A51C28" w:rsidRDefault="00A51C28" w:rsidP="00A51C28">
      <w:pPr>
        <w:numPr>
          <w:ilvl w:val="0"/>
          <w:numId w:val="35"/>
        </w:numPr>
        <w:rPr>
          <w:rFonts w:cstheme="minorHAnsi"/>
          <w:bCs/>
          <w:sz w:val="24"/>
          <w:szCs w:val="24"/>
        </w:rPr>
      </w:pPr>
      <w:r w:rsidRPr="00A51C28">
        <w:rPr>
          <w:rFonts w:cstheme="minorHAnsi"/>
          <w:bCs/>
          <w:sz w:val="24"/>
          <w:szCs w:val="24"/>
        </w:rPr>
        <w:t xml:space="preserve">If at any stage the involvement of the </w:t>
      </w:r>
      <w:proofErr w:type="spellStart"/>
      <w:r w:rsidRPr="00A51C28">
        <w:rPr>
          <w:rFonts w:cstheme="minorHAnsi"/>
          <w:bCs/>
          <w:sz w:val="24"/>
          <w:szCs w:val="24"/>
        </w:rPr>
        <w:t>SENDCo</w:t>
      </w:r>
      <w:proofErr w:type="spellEnd"/>
      <w:r w:rsidRPr="00A51C28">
        <w:rPr>
          <w:rFonts w:cstheme="minorHAnsi"/>
          <w:bCs/>
          <w:sz w:val="24"/>
          <w:szCs w:val="24"/>
        </w:rPr>
        <w:t xml:space="preserve"> is no longer required and this is agreed in the review meeting, the pupil's name is then removed from the list</w:t>
      </w:r>
    </w:p>
    <w:p w14:paraId="30378184" w14:textId="77777777" w:rsidR="00A51C28" w:rsidRPr="00A51C28" w:rsidRDefault="00A51C28" w:rsidP="00A51C28">
      <w:pPr>
        <w:numPr>
          <w:ilvl w:val="0"/>
          <w:numId w:val="35"/>
        </w:numPr>
        <w:rPr>
          <w:rFonts w:cstheme="minorHAnsi"/>
          <w:bCs/>
          <w:sz w:val="24"/>
          <w:szCs w:val="24"/>
        </w:rPr>
      </w:pPr>
      <w:r w:rsidRPr="00A51C28">
        <w:rPr>
          <w:rFonts w:cstheme="minorHAnsi"/>
          <w:bCs/>
          <w:sz w:val="24"/>
          <w:szCs w:val="24"/>
        </w:rPr>
        <w:t xml:space="preserve">Provision is recorded on a provision map, which is reviewed termly. The effectiveness of provision is regularly reviewed both in terms of outcomes for individual pupils and groups </w:t>
      </w:r>
    </w:p>
    <w:p w14:paraId="5C707E7E" w14:textId="77777777" w:rsidR="00A51C28" w:rsidRPr="00A51C28" w:rsidRDefault="00A51C28" w:rsidP="00A51C28">
      <w:pPr>
        <w:numPr>
          <w:ilvl w:val="0"/>
          <w:numId w:val="35"/>
        </w:numPr>
        <w:rPr>
          <w:rFonts w:cstheme="minorHAnsi"/>
          <w:bCs/>
          <w:sz w:val="24"/>
          <w:szCs w:val="24"/>
        </w:rPr>
      </w:pPr>
      <w:r w:rsidRPr="00A51C28">
        <w:rPr>
          <w:rFonts w:cstheme="minorHAnsi"/>
          <w:bCs/>
          <w:sz w:val="24"/>
          <w:szCs w:val="24"/>
        </w:rPr>
        <w:t>The Graduated Response described in the previous section is run alongside the school’s standard assessment and tracking</w:t>
      </w:r>
    </w:p>
    <w:p w14:paraId="62B183EF" w14:textId="77777777" w:rsidR="00A51C28" w:rsidRPr="00A51C28" w:rsidRDefault="00A51C28" w:rsidP="00A51C28">
      <w:pPr>
        <w:numPr>
          <w:ilvl w:val="0"/>
          <w:numId w:val="35"/>
        </w:numPr>
        <w:rPr>
          <w:rFonts w:cstheme="minorHAnsi"/>
          <w:bCs/>
          <w:sz w:val="24"/>
          <w:szCs w:val="24"/>
        </w:rPr>
      </w:pPr>
      <w:r w:rsidRPr="00A51C28">
        <w:rPr>
          <w:rFonts w:cstheme="minorHAnsi"/>
          <w:bCs/>
          <w:sz w:val="24"/>
          <w:szCs w:val="24"/>
        </w:rPr>
        <w:t xml:space="preserve">Pupils’ individual outcomes and targets are discussed in the meetings (as described above) and recorded on the relevant SEND forms (at targeted or specialist stages).  </w:t>
      </w:r>
    </w:p>
    <w:p w14:paraId="4F1F51B3" w14:textId="77777777" w:rsidR="00A51C28" w:rsidRPr="00A51C28" w:rsidRDefault="00A51C28" w:rsidP="00A51C28">
      <w:pPr>
        <w:numPr>
          <w:ilvl w:val="0"/>
          <w:numId w:val="35"/>
        </w:numPr>
        <w:rPr>
          <w:rFonts w:cstheme="minorHAnsi"/>
          <w:bCs/>
          <w:sz w:val="24"/>
          <w:szCs w:val="24"/>
        </w:rPr>
      </w:pPr>
      <w:r w:rsidRPr="00A51C28">
        <w:rPr>
          <w:rFonts w:cstheme="minorHAnsi"/>
          <w:bCs/>
          <w:sz w:val="24"/>
          <w:szCs w:val="24"/>
        </w:rPr>
        <w:t xml:space="preserve">There are also records of individual interventions kept by the teacher at all stages which are regularly updated and the outcomes of which are also referenced on the SEND forms when needed (and discussed in the review meetings.)  </w:t>
      </w:r>
    </w:p>
    <w:p w14:paraId="7F8E0CC0" w14:textId="77777777" w:rsidR="00A51C28" w:rsidRPr="00A51C28" w:rsidRDefault="00A51C28" w:rsidP="00A51C28">
      <w:pPr>
        <w:numPr>
          <w:ilvl w:val="0"/>
          <w:numId w:val="35"/>
        </w:numPr>
        <w:rPr>
          <w:rFonts w:cstheme="minorHAnsi"/>
          <w:bCs/>
          <w:sz w:val="24"/>
          <w:szCs w:val="24"/>
        </w:rPr>
      </w:pPr>
      <w:r w:rsidRPr="00A51C28">
        <w:rPr>
          <w:rFonts w:cstheme="minorHAnsi"/>
          <w:bCs/>
          <w:sz w:val="24"/>
          <w:szCs w:val="24"/>
        </w:rPr>
        <w:t xml:space="preserve">The SEND support for pupils is outlined in the SEND Information Report, available on the website. The level of provision is decided primarily according to pupil need. This </w:t>
      </w:r>
      <w:r w:rsidRPr="00A51C28">
        <w:rPr>
          <w:rFonts w:cstheme="minorHAnsi"/>
          <w:bCs/>
          <w:sz w:val="24"/>
          <w:szCs w:val="24"/>
        </w:rPr>
        <w:lastRenderedPageBreak/>
        <w:t xml:space="preserve">is determined by teacher/key worker assessment and discussed in the pupil progress meetings with the </w:t>
      </w:r>
      <w:proofErr w:type="spellStart"/>
      <w:r w:rsidRPr="00A51C28">
        <w:rPr>
          <w:rFonts w:cstheme="minorHAnsi"/>
          <w:bCs/>
          <w:sz w:val="24"/>
          <w:szCs w:val="24"/>
        </w:rPr>
        <w:t>SENDCo</w:t>
      </w:r>
      <w:proofErr w:type="spellEnd"/>
      <w:r w:rsidRPr="00A51C28">
        <w:rPr>
          <w:rFonts w:cstheme="minorHAnsi"/>
          <w:bCs/>
          <w:sz w:val="24"/>
          <w:szCs w:val="24"/>
        </w:rPr>
        <w:t xml:space="preserve"> and the Senior Leadership Team, bearing in mind what is possible in terms of resource availability</w:t>
      </w:r>
    </w:p>
    <w:p w14:paraId="078C21F5" w14:textId="77777777" w:rsidR="00A51C28" w:rsidRPr="00A51C28" w:rsidRDefault="00A51C28" w:rsidP="00A51C28">
      <w:pPr>
        <w:numPr>
          <w:ilvl w:val="0"/>
          <w:numId w:val="35"/>
        </w:numPr>
        <w:rPr>
          <w:rFonts w:cstheme="minorHAnsi"/>
          <w:bCs/>
          <w:sz w:val="24"/>
          <w:szCs w:val="24"/>
        </w:rPr>
      </w:pPr>
      <w:r w:rsidRPr="00A51C28">
        <w:rPr>
          <w:rFonts w:cstheme="minorHAnsi"/>
          <w:bCs/>
          <w:sz w:val="24"/>
          <w:szCs w:val="24"/>
        </w:rPr>
        <w:t xml:space="preserve">Relevant information is made accessible to all staff and parents in order to aid the effective co-ordination of the school’s SEND provision. In this way, every staff member will have complete and up-to-date information about all pupils with special needs and their requirements which will enable them to provide for the individual needs of all pupils. </w:t>
      </w:r>
    </w:p>
    <w:p w14:paraId="25FF5F64" w14:textId="77777777" w:rsidR="00A51C28" w:rsidRPr="00A51C28" w:rsidRDefault="00A51C28" w:rsidP="00A51C28">
      <w:pPr>
        <w:rPr>
          <w:rFonts w:cstheme="minorHAnsi"/>
          <w:bCs/>
          <w:sz w:val="24"/>
          <w:szCs w:val="24"/>
        </w:rPr>
      </w:pPr>
    </w:p>
    <w:p w14:paraId="50FB3952" w14:textId="77777777" w:rsidR="00A51C28" w:rsidRPr="00AA6142" w:rsidRDefault="00A51C28" w:rsidP="00A51C28">
      <w:pPr>
        <w:rPr>
          <w:rFonts w:cstheme="minorHAnsi"/>
          <w:bCs/>
          <w:sz w:val="24"/>
          <w:szCs w:val="24"/>
          <w:u w:val="single"/>
        </w:rPr>
      </w:pPr>
      <w:r w:rsidRPr="00A51C28">
        <w:rPr>
          <w:rFonts w:cstheme="minorHAnsi"/>
          <w:bCs/>
          <w:sz w:val="24"/>
          <w:szCs w:val="24"/>
        </w:rPr>
        <w:t xml:space="preserve"> </w:t>
      </w:r>
      <w:r w:rsidRPr="00AA6142">
        <w:rPr>
          <w:rFonts w:cstheme="minorHAnsi"/>
          <w:b/>
          <w:bCs/>
          <w:sz w:val="24"/>
          <w:szCs w:val="24"/>
          <w:u w:val="single"/>
        </w:rPr>
        <w:t>Admissions Procedures for children with SEND</w:t>
      </w:r>
    </w:p>
    <w:p w14:paraId="50D2EF41" w14:textId="77777777" w:rsidR="00A51C28" w:rsidRPr="00A51C28" w:rsidRDefault="00A51C28" w:rsidP="00A51C28">
      <w:pPr>
        <w:rPr>
          <w:rFonts w:cstheme="minorHAnsi"/>
          <w:bCs/>
          <w:sz w:val="24"/>
          <w:szCs w:val="24"/>
        </w:rPr>
      </w:pPr>
      <w:r w:rsidRPr="00A51C28">
        <w:rPr>
          <w:rFonts w:cstheme="minorHAnsi"/>
          <w:bCs/>
          <w:sz w:val="24"/>
          <w:szCs w:val="24"/>
        </w:rPr>
        <w:t xml:space="preserve">The admission arrangements for all pupils are in accordance with national legislation, including the Equality Act 2010. This includes children with any level of SEND; those with an Education, Health and Care plan (or equivalent) and those without. </w:t>
      </w:r>
      <w:r w:rsidR="00801B11" w:rsidRPr="00801B11">
        <w:rPr>
          <w:rFonts w:cstheme="minorHAnsi"/>
          <w:bCs/>
          <w:sz w:val="24"/>
          <w:szCs w:val="24"/>
        </w:rPr>
        <w:t>Where there is a child identified with SEND, decisions are made prior to the family being posted through a MASO process. The MASO is a process for assessing whether all the help required for a child with additional needs is available in an overseas command</w:t>
      </w:r>
      <w:r w:rsidR="00801B11">
        <w:rPr>
          <w:rFonts w:cstheme="minorHAnsi"/>
          <w:bCs/>
          <w:sz w:val="24"/>
          <w:szCs w:val="24"/>
        </w:rPr>
        <w:t xml:space="preserve">.  </w:t>
      </w:r>
      <w:r w:rsidR="00801B11" w:rsidRPr="00801B11">
        <w:rPr>
          <w:rFonts w:cstheme="minorHAnsi"/>
          <w:bCs/>
          <w:sz w:val="24"/>
          <w:szCs w:val="24"/>
        </w:rPr>
        <w:t xml:space="preserve">Further information on this can be found in the following leaflet: </w:t>
      </w:r>
      <w:r w:rsidR="00801B11" w:rsidRPr="00801B11">
        <w:rPr>
          <w:rFonts w:cstheme="minorHAnsi"/>
          <w:bCs/>
          <w:i/>
          <w:iCs/>
          <w:sz w:val="24"/>
          <w:szCs w:val="24"/>
        </w:rPr>
        <w:t xml:space="preserve">‘MOD ASSESSMENT OF SUPPORTABILITY OVERSEAS (MASO) – Information for parents.’ </w:t>
      </w:r>
      <w:r w:rsidR="00801B11" w:rsidRPr="00801B11">
        <w:rPr>
          <w:rFonts w:cstheme="minorHAnsi"/>
          <w:bCs/>
          <w:sz w:val="24"/>
          <w:szCs w:val="24"/>
        </w:rPr>
        <w:t xml:space="preserve"> </w:t>
      </w:r>
    </w:p>
    <w:p w14:paraId="4731831B" w14:textId="77777777" w:rsidR="00A51C28" w:rsidRPr="00A51C28" w:rsidRDefault="00AA6142" w:rsidP="00A51C28">
      <w:pPr>
        <w:rPr>
          <w:rFonts w:cstheme="minorHAnsi"/>
          <w:bCs/>
          <w:sz w:val="24"/>
          <w:szCs w:val="24"/>
        </w:rPr>
      </w:pPr>
      <w:r>
        <w:rPr>
          <w:rFonts w:cstheme="minorHAnsi"/>
          <w:bCs/>
          <w:sz w:val="24"/>
          <w:szCs w:val="24"/>
        </w:rPr>
        <w:t>British Forces School Naples</w:t>
      </w:r>
      <w:r w:rsidR="00A51C28" w:rsidRPr="00A51C28">
        <w:rPr>
          <w:rFonts w:cstheme="minorHAnsi"/>
          <w:bCs/>
          <w:sz w:val="24"/>
          <w:szCs w:val="24"/>
        </w:rPr>
        <w:t xml:space="preserve"> and the agencies working with young people make every effort to ensure that support and assistance for pupils and parents/carers is transparent and sensitively handled. All SEND paperwork should be passed to the </w:t>
      </w:r>
      <w:proofErr w:type="spellStart"/>
      <w:r w:rsidR="00A51C28" w:rsidRPr="00A51C28">
        <w:rPr>
          <w:rFonts w:cstheme="minorHAnsi"/>
          <w:bCs/>
          <w:sz w:val="24"/>
          <w:szCs w:val="24"/>
        </w:rPr>
        <w:t>SENDCo</w:t>
      </w:r>
      <w:proofErr w:type="spellEnd"/>
      <w:r w:rsidR="00A51C28" w:rsidRPr="00A51C28">
        <w:rPr>
          <w:rFonts w:cstheme="minorHAnsi"/>
          <w:bCs/>
          <w:sz w:val="24"/>
          <w:szCs w:val="24"/>
        </w:rPr>
        <w:t xml:space="preserve"> by the previous school or setting/parents as soon as possible. If the child is making a transition from another school, a meeting may be set up between the feeder school and the receiving school’s </w:t>
      </w:r>
      <w:proofErr w:type="spellStart"/>
      <w:r w:rsidR="00A51C28" w:rsidRPr="00A51C28">
        <w:rPr>
          <w:rFonts w:cstheme="minorHAnsi"/>
          <w:bCs/>
          <w:sz w:val="24"/>
          <w:szCs w:val="24"/>
        </w:rPr>
        <w:t>SENDCo</w:t>
      </w:r>
      <w:proofErr w:type="spellEnd"/>
      <w:r w:rsidR="00A51C28" w:rsidRPr="00A51C28">
        <w:rPr>
          <w:rFonts w:cstheme="minorHAnsi"/>
          <w:bCs/>
          <w:sz w:val="24"/>
          <w:szCs w:val="24"/>
        </w:rPr>
        <w:t xml:space="preserve"> to aid the smooth transition of the pupil, and discuss arrangements. Equally, it is encouraged that all partners work together in the identification and other processes relating to SEND. This offers the best opportunity for accurate and early identification to allow a timely and appropriate intervention. It is our commitment to ensuring that all voices are listened to throughout the process. </w:t>
      </w:r>
    </w:p>
    <w:p w14:paraId="517F6B43" w14:textId="77777777" w:rsidR="00A51C28" w:rsidRPr="00A51C28" w:rsidRDefault="00A51C28" w:rsidP="00A51C28">
      <w:pPr>
        <w:rPr>
          <w:rFonts w:cstheme="minorHAnsi"/>
          <w:bCs/>
          <w:sz w:val="24"/>
          <w:szCs w:val="24"/>
        </w:rPr>
      </w:pPr>
    </w:p>
    <w:p w14:paraId="2042DBFB" w14:textId="77777777" w:rsidR="00A51C28" w:rsidRPr="00FF1885" w:rsidRDefault="00A51C28" w:rsidP="00A51C28">
      <w:pPr>
        <w:rPr>
          <w:rFonts w:cstheme="minorHAnsi"/>
          <w:bCs/>
          <w:sz w:val="24"/>
          <w:szCs w:val="24"/>
          <w:u w:val="single"/>
        </w:rPr>
      </w:pPr>
      <w:r w:rsidRPr="00FF1885">
        <w:rPr>
          <w:rFonts w:cstheme="minorHAnsi"/>
          <w:b/>
          <w:bCs/>
          <w:sz w:val="24"/>
          <w:szCs w:val="24"/>
          <w:u w:val="single"/>
        </w:rPr>
        <w:t>Training and Resources</w:t>
      </w:r>
      <w:r w:rsidRPr="00FF1885">
        <w:rPr>
          <w:rFonts w:cstheme="minorHAnsi"/>
          <w:bCs/>
          <w:sz w:val="24"/>
          <w:szCs w:val="24"/>
          <w:u w:val="single"/>
        </w:rPr>
        <w:t xml:space="preserve"> </w:t>
      </w:r>
    </w:p>
    <w:p w14:paraId="3FFE0294" w14:textId="77777777" w:rsidR="00A51C28" w:rsidRPr="00A51C28" w:rsidRDefault="00A51C28" w:rsidP="00A51C28">
      <w:pPr>
        <w:rPr>
          <w:rFonts w:cstheme="minorHAnsi"/>
          <w:bCs/>
          <w:sz w:val="24"/>
          <w:szCs w:val="24"/>
        </w:rPr>
      </w:pPr>
      <w:r w:rsidRPr="00A51C28">
        <w:rPr>
          <w:rFonts w:cstheme="minorHAnsi"/>
          <w:bCs/>
          <w:sz w:val="24"/>
          <w:szCs w:val="24"/>
        </w:rPr>
        <w:t xml:space="preserve">Training needs for staff are discussed in staff meetings and Performance Management meetings and are identified through school development planning /observations etc.  Training is provided both in-house and externally through MOD Schools. Our specialist support services provide training and support to the </w:t>
      </w:r>
      <w:proofErr w:type="spellStart"/>
      <w:r w:rsidRPr="00A51C28">
        <w:rPr>
          <w:rFonts w:cstheme="minorHAnsi"/>
          <w:bCs/>
          <w:sz w:val="24"/>
          <w:szCs w:val="24"/>
        </w:rPr>
        <w:t>SENDCo</w:t>
      </w:r>
      <w:proofErr w:type="spellEnd"/>
      <w:r w:rsidRPr="00A51C28">
        <w:rPr>
          <w:rFonts w:cstheme="minorHAnsi"/>
          <w:bCs/>
          <w:sz w:val="24"/>
          <w:szCs w:val="24"/>
        </w:rPr>
        <w:t xml:space="preserve">. Teachers and LSA staff also access courses which are centrally run with visiting trainers. Teaching staff can also access training in UK.  </w:t>
      </w:r>
    </w:p>
    <w:p w14:paraId="0EB5ABCE" w14:textId="77777777" w:rsidR="00A51C28" w:rsidRPr="007278EE" w:rsidRDefault="00A51C28" w:rsidP="00A51C28">
      <w:pPr>
        <w:rPr>
          <w:rFonts w:cstheme="minorHAnsi"/>
          <w:bCs/>
          <w:sz w:val="24"/>
          <w:szCs w:val="24"/>
          <w:u w:val="single"/>
        </w:rPr>
      </w:pPr>
      <w:r w:rsidRPr="007278EE">
        <w:rPr>
          <w:rFonts w:cstheme="minorHAnsi"/>
          <w:b/>
          <w:bCs/>
          <w:sz w:val="24"/>
          <w:szCs w:val="24"/>
          <w:u w:val="single"/>
        </w:rPr>
        <w:lastRenderedPageBreak/>
        <w:t xml:space="preserve">Roles and Responsibilities </w:t>
      </w:r>
    </w:p>
    <w:p w14:paraId="6A8CAE9D" w14:textId="77777777" w:rsidR="00A51C28" w:rsidRPr="00A51C28" w:rsidRDefault="00A51C28" w:rsidP="00A51C28">
      <w:pPr>
        <w:numPr>
          <w:ilvl w:val="0"/>
          <w:numId w:val="36"/>
        </w:numPr>
        <w:rPr>
          <w:rFonts w:cstheme="minorHAnsi"/>
          <w:bCs/>
          <w:sz w:val="24"/>
          <w:szCs w:val="24"/>
        </w:rPr>
      </w:pPr>
      <w:r w:rsidRPr="007278EE">
        <w:rPr>
          <w:rFonts w:cstheme="minorHAnsi"/>
          <w:b/>
          <w:bCs/>
          <w:sz w:val="24"/>
          <w:szCs w:val="24"/>
        </w:rPr>
        <w:t>The Headteacher</w:t>
      </w:r>
      <w:r w:rsidRPr="00A51C28">
        <w:rPr>
          <w:rFonts w:cstheme="minorHAnsi"/>
          <w:bCs/>
          <w:sz w:val="24"/>
          <w:szCs w:val="24"/>
        </w:rPr>
        <w:t xml:space="preserve"> has overall responsibility for management of the policy, line management of the </w:t>
      </w:r>
      <w:proofErr w:type="spellStart"/>
      <w:r w:rsidRPr="00A51C28">
        <w:rPr>
          <w:rFonts w:cstheme="minorHAnsi"/>
          <w:bCs/>
          <w:sz w:val="24"/>
          <w:szCs w:val="24"/>
        </w:rPr>
        <w:t>SENDCo</w:t>
      </w:r>
      <w:proofErr w:type="spellEnd"/>
      <w:r w:rsidRPr="00A51C28">
        <w:rPr>
          <w:rFonts w:cstheme="minorHAnsi"/>
          <w:bCs/>
          <w:sz w:val="24"/>
          <w:szCs w:val="24"/>
        </w:rPr>
        <w:t xml:space="preserve">, for assessment and provision for pupils with special educational needs and for keeping the School Governing Committee (SGC) informed as appropriate  </w:t>
      </w:r>
    </w:p>
    <w:p w14:paraId="3213A064" w14:textId="77777777" w:rsidR="00A51C28" w:rsidRPr="00A51C28" w:rsidRDefault="00A51C28" w:rsidP="00A51C28">
      <w:pPr>
        <w:numPr>
          <w:ilvl w:val="0"/>
          <w:numId w:val="36"/>
        </w:numPr>
        <w:rPr>
          <w:rFonts w:cstheme="minorHAnsi"/>
          <w:bCs/>
          <w:sz w:val="24"/>
          <w:szCs w:val="24"/>
        </w:rPr>
      </w:pPr>
      <w:r w:rsidRPr="007278EE">
        <w:rPr>
          <w:rFonts w:cstheme="minorHAnsi"/>
          <w:b/>
          <w:bCs/>
          <w:sz w:val="24"/>
          <w:szCs w:val="24"/>
        </w:rPr>
        <w:t xml:space="preserve">The </w:t>
      </w:r>
      <w:proofErr w:type="spellStart"/>
      <w:r w:rsidRPr="007278EE">
        <w:rPr>
          <w:rFonts w:cstheme="minorHAnsi"/>
          <w:b/>
          <w:bCs/>
          <w:sz w:val="24"/>
          <w:szCs w:val="24"/>
        </w:rPr>
        <w:t>SENDCo</w:t>
      </w:r>
      <w:proofErr w:type="spellEnd"/>
      <w:r w:rsidRPr="00A51C28">
        <w:rPr>
          <w:rFonts w:cstheme="minorHAnsi"/>
          <w:bCs/>
          <w:sz w:val="24"/>
          <w:szCs w:val="24"/>
        </w:rPr>
        <w:t xml:space="preserve"> is responsible for overseeing the day-to–day operation of this policy and coordinating provision. A key feature of the </w:t>
      </w:r>
      <w:proofErr w:type="spellStart"/>
      <w:r w:rsidRPr="00A51C28">
        <w:rPr>
          <w:rFonts w:cstheme="minorHAnsi"/>
          <w:bCs/>
          <w:sz w:val="24"/>
          <w:szCs w:val="24"/>
        </w:rPr>
        <w:t>SENDCo’s</w:t>
      </w:r>
      <w:proofErr w:type="spellEnd"/>
      <w:r w:rsidRPr="00A51C28">
        <w:rPr>
          <w:rFonts w:cstheme="minorHAnsi"/>
          <w:bCs/>
          <w:sz w:val="24"/>
          <w:szCs w:val="24"/>
        </w:rPr>
        <w:t xml:space="preserve"> role is to liaise with: parents of pupils with SEND; a range of external agencies and other schools; and with potential next providers of education to facilitate a smooth transition. The individual roles of learning support staff are coordinated, timetabled and managed by the </w:t>
      </w:r>
      <w:proofErr w:type="spellStart"/>
      <w:r w:rsidRPr="00A51C28">
        <w:rPr>
          <w:rFonts w:cstheme="minorHAnsi"/>
          <w:bCs/>
          <w:sz w:val="24"/>
          <w:szCs w:val="24"/>
        </w:rPr>
        <w:t>SENDCo</w:t>
      </w:r>
      <w:proofErr w:type="spellEnd"/>
      <w:r w:rsidRPr="00A51C28">
        <w:rPr>
          <w:rFonts w:cstheme="minorHAnsi"/>
          <w:bCs/>
          <w:sz w:val="24"/>
          <w:szCs w:val="24"/>
        </w:rPr>
        <w:t xml:space="preserve">  </w:t>
      </w:r>
    </w:p>
    <w:p w14:paraId="35FCF0A0" w14:textId="77777777" w:rsidR="00A51C28" w:rsidRPr="00A41602" w:rsidRDefault="00A51C28" w:rsidP="00A41602">
      <w:pPr>
        <w:numPr>
          <w:ilvl w:val="0"/>
          <w:numId w:val="36"/>
        </w:numPr>
        <w:rPr>
          <w:rFonts w:cstheme="minorHAnsi"/>
          <w:bCs/>
          <w:sz w:val="24"/>
          <w:szCs w:val="24"/>
          <w:lang w:val="en-US"/>
        </w:rPr>
      </w:pPr>
      <w:r w:rsidRPr="007278EE">
        <w:rPr>
          <w:rFonts w:cstheme="minorHAnsi"/>
          <w:b/>
          <w:bCs/>
          <w:sz w:val="24"/>
          <w:szCs w:val="24"/>
        </w:rPr>
        <w:t>Teachers</w:t>
      </w:r>
      <w:r w:rsidRPr="00A51C28">
        <w:rPr>
          <w:rFonts w:cstheme="minorHAnsi"/>
          <w:bCs/>
          <w:sz w:val="24"/>
          <w:szCs w:val="24"/>
        </w:rPr>
        <w:t xml:space="preserve"> are responsible and accountable for the progress and development of all the pupils in their class (including where pupils access support from a teaching assistant or specialist staff). The teacher will take steps to provide differentiated learning opportunities that will aid the pupil’s academic progression and enable the teacher to better understand the provision and teaching style that needs to be applied</w:t>
      </w:r>
      <w:r w:rsidR="00801B11">
        <w:rPr>
          <w:rFonts w:cstheme="minorHAnsi"/>
          <w:bCs/>
          <w:sz w:val="24"/>
          <w:szCs w:val="24"/>
        </w:rPr>
        <w:t xml:space="preserve">. </w:t>
      </w:r>
      <w:r w:rsidR="00801B11" w:rsidRPr="00801B11">
        <w:rPr>
          <w:rFonts w:cstheme="minorHAnsi"/>
          <w:bCs/>
          <w:sz w:val="24"/>
          <w:szCs w:val="24"/>
          <w:lang w:val="en-US"/>
        </w:rPr>
        <w:t xml:space="preserve">Teachers work closely with any teaching assistants or specialist staff to plan and assess the impact of support and interventions and how they can be linked to classroom teaching.  </w:t>
      </w:r>
      <w:r w:rsidR="00801B11" w:rsidRPr="00801B11">
        <w:rPr>
          <w:rFonts w:cstheme="minorHAnsi"/>
          <w:bCs/>
          <w:sz w:val="24"/>
          <w:szCs w:val="24"/>
        </w:rPr>
        <w:t>Teachers are responsible for implementing this policy</w:t>
      </w:r>
      <w:r w:rsidR="00807AFC">
        <w:rPr>
          <w:rFonts w:cstheme="minorHAnsi"/>
          <w:bCs/>
          <w:sz w:val="24"/>
          <w:szCs w:val="24"/>
        </w:rPr>
        <w:t xml:space="preserve">; creating, updating and carrying out </w:t>
      </w:r>
      <w:r w:rsidR="00801B11" w:rsidRPr="00801B11">
        <w:rPr>
          <w:rFonts w:cstheme="minorHAnsi"/>
          <w:bCs/>
          <w:sz w:val="24"/>
          <w:szCs w:val="24"/>
        </w:rPr>
        <w:t>the actions on the ILP</w:t>
      </w:r>
      <w:r w:rsidR="00807AFC">
        <w:rPr>
          <w:rFonts w:cstheme="minorHAnsi"/>
          <w:bCs/>
          <w:sz w:val="24"/>
          <w:szCs w:val="24"/>
        </w:rPr>
        <w:t>;</w:t>
      </w:r>
      <w:r w:rsidR="00801B11" w:rsidRPr="00801B11">
        <w:rPr>
          <w:rFonts w:cstheme="minorHAnsi"/>
          <w:bCs/>
          <w:sz w:val="24"/>
          <w:szCs w:val="24"/>
        </w:rPr>
        <w:t xml:space="preserve"> keeping on-going records and </w:t>
      </w:r>
      <w:r w:rsidR="00801B11" w:rsidRPr="00801B11">
        <w:rPr>
          <w:rFonts w:cstheme="minorHAnsi"/>
          <w:bCs/>
          <w:sz w:val="24"/>
          <w:szCs w:val="24"/>
          <w:lang w:val="en-US"/>
        </w:rPr>
        <w:t>working with the SENCO to review each pupil’s progress and development and decide on any changes to provision</w:t>
      </w:r>
    </w:p>
    <w:p w14:paraId="43A7EADD" w14:textId="77777777" w:rsidR="00A51C28" w:rsidRPr="00A51C28" w:rsidRDefault="00A51C28" w:rsidP="00A51C28">
      <w:pPr>
        <w:numPr>
          <w:ilvl w:val="0"/>
          <w:numId w:val="36"/>
        </w:numPr>
        <w:rPr>
          <w:rFonts w:cstheme="minorHAnsi"/>
          <w:bCs/>
          <w:sz w:val="24"/>
          <w:szCs w:val="24"/>
        </w:rPr>
      </w:pPr>
      <w:r w:rsidRPr="007278EE">
        <w:rPr>
          <w:rFonts w:cstheme="minorHAnsi"/>
          <w:b/>
          <w:bCs/>
          <w:sz w:val="24"/>
          <w:szCs w:val="24"/>
        </w:rPr>
        <w:t>The SEND Gover</w:t>
      </w:r>
      <w:r w:rsidR="00A41602" w:rsidRPr="007278EE">
        <w:rPr>
          <w:rFonts w:cstheme="minorHAnsi"/>
          <w:b/>
          <w:bCs/>
          <w:sz w:val="24"/>
          <w:szCs w:val="24"/>
        </w:rPr>
        <w:t>nor</w:t>
      </w:r>
      <w:r w:rsidRPr="00A51C28">
        <w:rPr>
          <w:rFonts w:cstheme="minorHAnsi"/>
          <w:bCs/>
          <w:sz w:val="24"/>
          <w:szCs w:val="24"/>
        </w:rPr>
        <w:t xml:space="preserve"> </w:t>
      </w:r>
      <w:r w:rsidR="007278EE">
        <w:rPr>
          <w:rFonts w:cstheme="minorHAnsi"/>
          <w:bCs/>
          <w:sz w:val="24"/>
          <w:szCs w:val="24"/>
        </w:rPr>
        <w:t xml:space="preserve">contributes towards </w:t>
      </w:r>
      <w:r w:rsidRPr="00A51C28">
        <w:rPr>
          <w:rFonts w:cstheme="minorHAnsi"/>
          <w:bCs/>
          <w:sz w:val="24"/>
          <w:szCs w:val="24"/>
        </w:rPr>
        <w:t>monitor</w:t>
      </w:r>
      <w:r w:rsidR="007278EE">
        <w:rPr>
          <w:rFonts w:cstheme="minorHAnsi"/>
          <w:bCs/>
          <w:sz w:val="24"/>
          <w:szCs w:val="24"/>
        </w:rPr>
        <w:t>ing</w:t>
      </w:r>
      <w:r w:rsidRPr="00A51C28">
        <w:rPr>
          <w:rFonts w:cstheme="minorHAnsi"/>
          <w:bCs/>
          <w:sz w:val="24"/>
          <w:szCs w:val="24"/>
        </w:rPr>
        <w:t xml:space="preserve"> the implementation of the policy and has an overview of the provision offered by the school. This </w:t>
      </w:r>
      <w:r w:rsidR="00A41602">
        <w:rPr>
          <w:rFonts w:cstheme="minorHAnsi"/>
          <w:bCs/>
          <w:sz w:val="24"/>
          <w:szCs w:val="24"/>
        </w:rPr>
        <w:t xml:space="preserve">may </w:t>
      </w:r>
      <w:r w:rsidRPr="00A51C28">
        <w:rPr>
          <w:rFonts w:cstheme="minorHAnsi"/>
          <w:bCs/>
          <w:sz w:val="24"/>
          <w:szCs w:val="24"/>
        </w:rPr>
        <w:t xml:space="preserve">include contributing to the review of the SEND policy; discussions with key staff, parents, carers and pupils; </w:t>
      </w:r>
      <w:r w:rsidR="00A41602">
        <w:rPr>
          <w:rFonts w:cstheme="minorHAnsi"/>
          <w:bCs/>
          <w:sz w:val="24"/>
          <w:szCs w:val="24"/>
        </w:rPr>
        <w:t xml:space="preserve">working with the headteacher and </w:t>
      </w:r>
      <w:proofErr w:type="spellStart"/>
      <w:r w:rsidR="00A41602">
        <w:rPr>
          <w:rFonts w:cstheme="minorHAnsi"/>
          <w:bCs/>
          <w:sz w:val="24"/>
          <w:szCs w:val="24"/>
        </w:rPr>
        <w:t>SENDCo</w:t>
      </w:r>
      <w:proofErr w:type="spellEnd"/>
      <w:r w:rsidR="00A41602">
        <w:rPr>
          <w:rFonts w:cstheme="minorHAnsi"/>
          <w:bCs/>
          <w:sz w:val="24"/>
          <w:szCs w:val="24"/>
        </w:rPr>
        <w:t xml:space="preserve"> </w:t>
      </w:r>
    </w:p>
    <w:p w14:paraId="1BE9F7BB" w14:textId="77777777" w:rsidR="00A51C28" w:rsidRPr="00A51C28" w:rsidRDefault="00A51C28" w:rsidP="00A51C28">
      <w:pPr>
        <w:numPr>
          <w:ilvl w:val="0"/>
          <w:numId w:val="36"/>
        </w:numPr>
        <w:rPr>
          <w:rFonts w:cstheme="minorHAnsi"/>
          <w:bCs/>
          <w:sz w:val="24"/>
          <w:szCs w:val="24"/>
        </w:rPr>
      </w:pPr>
      <w:r w:rsidRPr="007278EE">
        <w:rPr>
          <w:rFonts w:cstheme="minorHAnsi"/>
          <w:b/>
          <w:bCs/>
          <w:sz w:val="24"/>
          <w:szCs w:val="24"/>
        </w:rPr>
        <w:t>Parents</w:t>
      </w:r>
      <w:r w:rsidRPr="00A51C28">
        <w:rPr>
          <w:rFonts w:cstheme="minorHAnsi"/>
          <w:bCs/>
          <w:sz w:val="24"/>
          <w:szCs w:val="24"/>
        </w:rPr>
        <w:t xml:space="preserve"> are responsible for working in partnership with the school to help meet their child’s needs.  </w:t>
      </w:r>
      <w:r w:rsidR="00A41602">
        <w:rPr>
          <w:rFonts w:cstheme="minorHAnsi"/>
          <w:bCs/>
          <w:sz w:val="24"/>
          <w:szCs w:val="24"/>
        </w:rPr>
        <w:t>British Forces</w:t>
      </w:r>
      <w:r w:rsidRPr="00A51C28">
        <w:rPr>
          <w:rFonts w:cstheme="minorHAnsi"/>
          <w:bCs/>
          <w:sz w:val="24"/>
          <w:szCs w:val="24"/>
        </w:rPr>
        <w:t xml:space="preserve"> School has a policy of active engagement with parents and carers to ensure that they are aware of the pivotal role they also have in relation to meeting their child’s needs.</w:t>
      </w:r>
    </w:p>
    <w:p w14:paraId="79D1736F" w14:textId="77777777" w:rsidR="00A51C28" w:rsidRPr="003824E8" w:rsidRDefault="00A51C28" w:rsidP="00A51C28">
      <w:pPr>
        <w:rPr>
          <w:rFonts w:cstheme="minorHAnsi"/>
          <w:bCs/>
          <w:sz w:val="24"/>
          <w:szCs w:val="24"/>
        </w:rPr>
      </w:pPr>
      <w:r w:rsidRPr="00A51C28">
        <w:rPr>
          <w:rFonts w:cstheme="minorHAnsi"/>
          <w:bCs/>
          <w:sz w:val="24"/>
          <w:szCs w:val="24"/>
        </w:rPr>
        <w:t xml:space="preserve"> </w:t>
      </w:r>
      <w:r w:rsidRPr="007278EE">
        <w:rPr>
          <w:rFonts w:cstheme="minorHAnsi"/>
          <w:b/>
          <w:bCs/>
          <w:sz w:val="24"/>
          <w:szCs w:val="24"/>
          <w:u w:val="single"/>
        </w:rPr>
        <w:t>Equal Opportunities</w:t>
      </w:r>
      <w:r w:rsidRPr="007278EE">
        <w:rPr>
          <w:rFonts w:cstheme="minorHAnsi"/>
          <w:bCs/>
          <w:sz w:val="24"/>
          <w:szCs w:val="24"/>
          <w:u w:val="single"/>
        </w:rPr>
        <w:t xml:space="preserve"> </w:t>
      </w:r>
    </w:p>
    <w:p w14:paraId="7346537F" w14:textId="77777777" w:rsidR="00A51C28" w:rsidRPr="00A51C28" w:rsidRDefault="00A51C28" w:rsidP="00A51C28">
      <w:pPr>
        <w:rPr>
          <w:rFonts w:cstheme="minorHAnsi"/>
          <w:bCs/>
          <w:sz w:val="24"/>
          <w:szCs w:val="24"/>
        </w:rPr>
      </w:pPr>
      <w:r w:rsidRPr="00A51C28">
        <w:rPr>
          <w:rFonts w:cstheme="minorHAnsi"/>
          <w:bCs/>
          <w:sz w:val="24"/>
          <w:szCs w:val="24"/>
        </w:rPr>
        <w:t xml:space="preserve">All practitioners at </w:t>
      </w:r>
      <w:r w:rsidR="007278EE">
        <w:rPr>
          <w:rFonts w:cstheme="minorHAnsi"/>
          <w:bCs/>
          <w:sz w:val="24"/>
          <w:szCs w:val="24"/>
        </w:rPr>
        <w:t>British Forces School Naples</w:t>
      </w:r>
      <w:r w:rsidRPr="00A51C28">
        <w:rPr>
          <w:rFonts w:cstheme="minorHAnsi"/>
          <w:bCs/>
          <w:sz w:val="24"/>
          <w:szCs w:val="24"/>
        </w:rPr>
        <w:t xml:space="preserve"> have a responsibility to maintain positive attitudes to diversity and difference, ensuring that inclusive practice is delivered throughout the school. All children, irrespective of gender, ability, ethnicity, culture or religion, and social circumstances, have opportunities to experience a challenging and enjoyable programme of learning and development within </w:t>
      </w:r>
      <w:r w:rsidR="007278EE">
        <w:rPr>
          <w:rFonts w:cstheme="minorHAnsi"/>
          <w:bCs/>
          <w:sz w:val="24"/>
          <w:szCs w:val="24"/>
        </w:rPr>
        <w:t>our</w:t>
      </w:r>
      <w:r w:rsidRPr="00A51C28">
        <w:rPr>
          <w:rFonts w:cstheme="minorHAnsi"/>
          <w:bCs/>
          <w:sz w:val="24"/>
          <w:szCs w:val="24"/>
        </w:rPr>
        <w:t xml:space="preserve"> school.  </w:t>
      </w:r>
    </w:p>
    <w:p w14:paraId="6BFE17CF" w14:textId="77777777" w:rsidR="00A51C28" w:rsidRPr="007278EE" w:rsidRDefault="00A51C28" w:rsidP="00A51C28">
      <w:pPr>
        <w:rPr>
          <w:rFonts w:cstheme="minorHAnsi"/>
          <w:bCs/>
          <w:sz w:val="24"/>
          <w:szCs w:val="24"/>
          <w:u w:val="single"/>
        </w:rPr>
      </w:pPr>
      <w:r w:rsidRPr="007278EE">
        <w:rPr>
          <w:rFonts w:cstheme="minorHAnsi"/>
          <w:b/>
          <w:bCs/>
          <w:sz w:val="24"/>
          <w:szCs w:val="24"/>
          <w:u w:val="single"/>
        </w:rPr>
        <w:lastRenderedPageBreak/>
        <w:t>Storing and Managing Data</w:t>
      </w:r>
      <w:r w:rsidRPr="007278EE">
        <w:rPr>
          <w:rFonts w:cstheme="minorHAnsi"/>
          <w:bCs/>
          <w:sz w:val="24"/>
          <w:szCs w:val="24"/>
          <w:u w:val="single"/>
        </w:rPr>
        <w:t xml:space="preserve"> </w:t>
      </w:r>
    </w:p>
    <w:p w14:paraId="0DE456F7" w14:textId="77777777" w:rsidR="00A51C28" w:rsidRPr="00A51C28" w:rsidRDefault="00A51C28" w:rsidP="00A51C28">
      <w:pPr>
        <w:rPr>
          <w:rFonts w:cstheme="minorHAnsi"/>
          <w:bCs/>
          <w:sz w:val="24"/>
          <w:szCs w:val="24"/>
        </w:rPr>
      </w:pPr>
      <w:r w:rsidRPr="00A51C28">
        <w:rPr>
          <w:rFonts w:cstheme="minorHAnsi"/>
          <w:bCs/>
          <w:sz w:val="24"/>
          <w:szCs w:val="24"/>
        </w:rPr>
        <w:t xml:space="preserve">All sensitive pupil data is kept in individual pupil files in a locked cabinet to which the </w:t>
      </w:r>
      <w:proofErr w:type="spellStart"/>
      <w:r w:rsidRPr="00A51C28">
        <w:rPr>
          <w:rFonts w:cstheme="minorHAnsi"/>
          <w:bCs/>
          <w:sz w:val="24"/>
          <w:szCs w:val="24"/>
        </w:rPr>
        <w:t>SENDCo</w:t>
      </w:r>
      <w:proofErr w:type="spellEnd"/>
      <w:r w:rsidRPr="00A51C28">
        <w:rPr>
          <w:rFonts w:cstheme="minorHAnsi"/>
          <w:bCs/>
          <w:sz w:val="24"/>
          <w:szCs w:val="24"/>
        </w:rPr>
        <w:t xml:space="preserve"> and Headteacher have access. These are passed on to the new schools (via the parents/carers) when children leave </w:t>
      </w:r>
      <w:r w:rsidR="007278EE">
        <w:rPr>
          <w:rFonts w:cstheme="minorHAnsi"/>
          <w:bCs/>
          <w:sz w:val="24"/>
          <w:szCs w:val="24"/>
        </w:rPr>
        <w:t>British Forces School Naples</w:t>
      </w:r>
      <w:r w:rsidRPr="00A51C28">
        <w:rPr>
          <w:rFonts w:cstheme="minorHAnsi"/>
          <w:bCs/>
          <w:sz w:val="24"/>
          <w:szCs w:val="24"/>
        </w:rPr>
        <w:t xml:space="preserve">. Personal/sensitive computer data is encrypted or stored within secure data systems on the school’s MOD Schools drive.  All data kept on pupils is discussed with parents/carers and available to them. </w:t>
      </w:r>
    </w:p>
    <w:p w14:paraId="0BE8F177" w14:textId="77777777" w:rsidR="00A51C28" w:rsidRPr="00721DE2" w:rsidRDefault="00A51C28" w:rsidP="00A51C28">
      <w:pPr>
        <w:rPr>
          <w:rFonts w:cstheme="minorHAnsi"/>
          <w:bCs/>
          <w:sz w:val="24"/>
          <w:szCs w:val="24"/>
          <w:u w:val="single"/>
        </w:rPr>
      </w:pPr>
      <w:r w:rsidRPr="00721DE2">
        <w:rPr>
          <w:rFonts w:cstheme="minorHAnsi"/>
          <w:b/>
          <w:bCs/>
          <w:sz w:val="24"/>
          <w:szCs w:val="24"/>
          <w:u w:val="single"/>
        </w:rPr>
        <w:t>Managing Complaints</w:t>
      </w:r>
      <w:r w:rsidRPr="00721DE2">
        <w:rPr>
          <w:rFonts w:cstheme="minorHAnsi"/>
          <w:bCs/>
          <w:sz w:val="24"/>
          <w:szCs w:val="24"/>
          <w:u w:val="single"/>
        </w:rPr>
        <w:t xml:space="preserve"> </w:t>
      </w:r>
    </w:p>
    <w:p w14:paraId="02840A65" w14:textId="77777777" w:rsidR="00A51C28" w:rsidRPr="00A51C28" w:rsidRDefault="00A51C28" w:rsidP="00A51C28">
      <w:pPr>
        <w:rPr>
          <w:rFonts w:cstheme="minorHAnsi"/>
          <w:bCs/>
          <w:sz w:val="24"/>
          <w:szCs w:val="24"/>
        </w:rPr>
      </w:pPr>
      <w:r w:rsidRPr="00A51C28">
        <w:rPr>
          <w:rFonts w:cstheme="minorHAnsi"/>
          <w:bCs/>
          <w:sz w:val="24"/>
          <w:szCs w:val="24"/>
        </w:rPr>
        <w:t xml:space="preserve">Any complaints about general or specific provision will be referred to the </w:t>
      </w:r>
      <w:proofErr w:type="spellStart"/>
      <w:r w:rsidRPr="00A51C28">
        <w:rPr>
          <w:rFonts w:cstheme="minorHAnsi"/>
          <w:bCs/>
          <w:sz w:val="24"/>
          <w:szCs w:val="24"/>
        </w:rPr>
        <w:t>SENDCo</w:t>
      </w:r>
      <w:proofErr w:type="spellEnd"/>
      <w:r w:rsidRPr="00A51C28">
        <w:rPr>
          <w:rFonts w:cstheme="minorHAnsi"/>
          <w:bCs/>
          <w:sz w:val="24"/>
          <w:szCs w:val="24"/>
        </w:rPr>
        <w:t xml:space="preserve"> (</w:t>
      </w:r>
      <w:r w:rsidR="007278EE">
        <w:rPr>
          <w:rFonts w:cstheme="minorHAnsi"/>
          <w:bCs/>
          <w:sz w:val="24"/>
          <w:szCs w:val="24"/>
        </w:rPr>
        <w:t>Mrs Leanne Wortley</w:t>
      </w:r>
      <w:r w:rsidRPr="00A51C28">
        <w:rPr>
          <w:rFonts w:cstheme="minorHAnsi"/>
          <w:bCs/>
          <w:sz w:val="24"/>
          <w:szCs w:val="24"/>
        </w:rPr>
        <w:t>) in the first instance. If the issue remains unresolved, the complaint is referred to the Headteacher (</w:t>
      </w:r>
      <w:r w:rsidR="007278EE">
        <w:rPr>
          <w:rFonts w:cstheme="minorHAnsi"/>
          <w:bCs/>
          <w:sz w:val="24"/>
          <w:szCs w:val="24"/>
        </w:rPr>
        <w:t>Mrs Rebecca Robinson</w:t>
      </w:r>
      <w:r w:rsidRPr="00A51C28">
        <w:rPr>
          <w:rFonts w:cstheme="minorHAnsi"/>
          <w:bCs/>
          <w:sz w:val="24"/>
          <w:szCs w:val="24"/>
        </w:rPr>
        <w:t xml:space="preserve">). If there is still an issue, the next stage is to </w:t>
      </w:r>
      <w:r w:rsidR="007278EE">
        <w:rPr>
          <w:rFonts w:cstheme="minorHAnsi"/>
          <w:bCs/>
          <w:sz w:val="24"/>
          <w:szCs w:val="24"/>
        </w:rPr>
        <w:t>follow the MOD complaints procedure.</w:t>
      </w:r>
      <w:r w:rsidRPr="00A51C28">
        <w:rPr>
          <w:rFonts w:cstheme="minorHAnsi"/>
          <w:bCs/>
          <w:sz w:val="24"/>
          <w:szCs w:val="24"/>
        </w:rPr>
        <w:t xml:space="preserve">  </w:t>
      </w:r>
    </w:p>
    <w:p w14:paraId="1E8F85F5" w14:textId="77777777" w:rsidR="00A51C28" w:rsidRPr="00721DE2" w:rsidRDefault="00A51C28" w:rsidP="00A51C28">
      <w:pPr>
        <w:rPr>
          <w:rFonts w:cstheme="minorHAnsi"/>
          <w:b/>
          <w:bCs/>
          <w:sz w:val="24"/>
          <w:szCs w:val="24"/>
          <w:u w:val="single"/>
        </w:rPr>
      </w:pPr>
      <w:r w:rsidRPr="00721DE2">
        <w:rPr>
          <w:rFonts w:cstheme="minorHAnsi"/>
          <w:b/>
          <w:bCs/>
          <w:sz w:val="24"/>
          <w:szCs w:val="24"/>
          <w:u w:val="single"/>
        </w:rPr>
        <w:t xml:space="preserve">Evaluating the success of provision </w:t>
      </w:r>
    </w:p>
    <w:p w14:paraId="0312C381" w14:textId="77777777" w:rsidR="00A51C28" w:rsidRPr="00A51C28" w:rsidRDefault="00A51C28" w:rsidP="00A51C28">
      <w:pPr>
        <w:rPr>
          <w:rFonts w:cstheme="minorHAnsi"/>
          <w:bCs/>
          <w:sz w:val="24"/>
          <w:szCs w:val="24"/>
        </w:rPr>
      </w:pPr>
      <w:r w:rsidRPr="00A51C28">
        <w:rPr>
          <w:rFonts w:cstheme="minorHAnsi"/>
          <w:bCs/>
          <w:sz w:val="24"/>
          <w:szCs w:val="24"/>
        </w:rPr>
        <w:t xml:space="preserve">SEND provision at </w:t>
      </w:r>
      <w:r w:rsidR="00721DE2">
        <w:rPr>
          <w:rFonts w:cstheme="minorHAnsi"/>
          <w:bCs/>
          <w:sz w:val="24"/>
          <w:szCs w:val="24"/>
        </w:rPr>
        <w:t>British Forces School Naples</w:t>
      </w:r>
      <w:r w:rsidRPr="00A51C28">
        <w:rPr>
          <w:rFonts w:cstheme="minorHAnsi"/>
          <w:bCs/>
          <w:sz w:val="24"/>
          <w:szCs w:val="24"/>
        </w:rPr>
        <w:t xml:space="preserve"> is evaluated against the stated objectives on this policy. Staff, parents/carers and children are all involved in the evaluation process. Evaluation is ongoing which means that the SEND provision is always the subject of continuous assessment and review. </w:t>
      </w:r>
    </w:p>
    <w:p w14:paraId="01E2D886" w14:textId="77777777" w:rsidR="00A51C28" w:rsidRPr="00A51C28" w:rsidRDefault="00A51C28" w:rsidP="00A51C28">
      <w:pPr>
        <w:rPr>
          <w:rFonts w:cstheme="minorHAnsi"/>
          <w:b/>
          <w:bCs/>
          <w:sz w:val="24"/>
          <w:szCs w:val="24"/>
        </w:rPr>
      </w:pPr>
    </w:p>
    <w:p w14:paraId="76994A0C" w14:textId="77777777" w:rsidR="00A51C28" w:rsidRPr="00721DE2" w:rsidRDefault="00A51C28" w:rsidP="00A51C28">
      <w:pPr>
        <w:rPr>
          <w:rFonts w:cstheme="minorHAnsi"/>
          <w:bCs/>
          <w:sz w:val="24"/>
          <w:szCs w:val="24"/>
          <w:u w:val="single"/>
        </w:rPr>
      </w:pPr>
      <w:r w:rsidRPr="00721DE2">
        <w:rPr>
          <w:rFonts w:cstheme="minorHAnsi"/>
          <w:b/>
          <w:bCs/>
          <w:sz w:val="24"/>
          <w:szCs w:val="24"/>
          <w:u w:val="single"/>
        </w:rPr>
        <w:t>Reviewing the Policy</w:t>
      </w:r>
      <w:r w:rsidRPr="00721DE2">
        <w:rPr>
          <w:rFonts w:cstheme="minorHAnsi"/>
          <w:bCs/>
          <w:sz w:val="24"/>
          <w:szCs w:val="24"/>
          <w:u w:val="single"/>
        </w:rPr>
        <w:t xml:space="preserve"> </w:t>
      </w:r>
    </w:p>
    <w:p w14:paraId="71BA9621" w14:textId="77777777" w:rsidR="00A51C28" w:rsidRPr="00A51C28" w:rsidRDefault="00A51C28" w:rsidP="00A51C28">
      <w:pPr>
        <w:rPr>
          <w:rFonts w:cstheme="minorHAnsi"/>
          <w:bCs/>
          <w:sz w:val="24"/>
          <w:szCs w:val="24"/>
        </w:rPr>
      </w:pPr>
      <w:r w:rsidRPr="00A51C28">
        <w:rPr>
          <w:rFonts w:cstheme="minorHAnsi"/>
          <w:bCs/>
          <w:sz w:val="24"/>
          <w:szCs w:val="24"/>
        </w:rPr>
        <w:t>The SEND policy will be reviewed annually, considering feedback and comments from pupils, parents/carers, staff, SGC and outside agencies. Pupils’ comments are obtained through Pupil Voice in meetings and questionnaires</w:t>
      </w:r>
      <w:r w:rsidR="00721DE2">
        <w:rPr>
          <w:rFonts w:cstheme="minorHAnsi"/>
          <w:bCs/>
          <w:sz w:val="24"/>
          <w:szCs w:val="24"/>
        </w:rPr>
        <w:t xml:space="preserve"> where appropriate</w:t>
      </w:r>
      <w:r w:rsidRPr="00A51C28">
        <w:rPr>
          <w:rFonts w:cstheme="minorHAnsi"/>
          <w:bCs/>
          <w:sz w:val="24"/>
          <w:szCs w:val="24"/>
        </w:rPr>
        <w:t xml:space="preserve">; parents views are gathered in the same way. The policy itself is contributed to in staff meetings, and ratified by the SGC.  This policy should be used in conjunction with all other school policies.  </w:t>
      </w:r>
    </w:p>
    <w:p w14:paraId="1E1E5837" w14:textId="77777777" w:rsidR="00A51C28" w:rsidRPr="00A51C28" w:rsidRDefault="00A51C28" w:rsidP="00A51C28">
      <w:pPr>
        <w:rPr>
          <w:rFonts w:cstheme="minorHAnsi"/>
          <w:bCs/>
          <w:sz w:val="24"/>
          <w:szCs w:val="24"/>
        </w:rPr>
      </w:pPr>
      <w:r w:rsidRPr="00A51C28">
        <w:rPr>
          <w:rFonts w:cstheme="minorHAnsi"/>
          <w:bCs/>
          <w:sz w:val="24"/>
          <w:szCs w:val="24"/>
        </w:rPr>
        <w:t xml:space="preserve"> </w:t>
      </w:r>
    </w:p>
    <w:p w14:paraId="6730B7D3" w14:textId="77777777" w:rsidR="00A51C28" w:rsidRPr="00A51C28" w:rsidRDefault="00A51C28" w:rsidP="00A51C28">
      <w:pPr>
        <w:rPr>
          <w:rFonts w:cstheme="minorHAnsi"/>
          <w:bCs/>
          <w:sz w:val="24"/>
          <w:szCs w:val="24"/>
        </w:rPr>
      </w:pPr>
    </w:p>
    <w:p w14:paraId="530903AD" w14:textId="77777777" w:rsidR="00501540" w:rsidRPr="00CD750C" w:rsidRDefault="00501540" w:rsidP="00CD750C">
      <w:pPr>
        <w:spacing w:after="0" w:line="240" w:lineRule="auto"/>
        <w:rPr>
          <w:rFonts w:cstheme="minorHAnsi"/>
          <w:sz w:val="24"/>
          <w:szCs w:val="24"/>
        </w:rPr>
      </w:pPr>
    </w:p>
    <w:p w14:paraId="1BDEDE83" w14:textId="77777777" w:rsidR="00CD750C" w:rsidRPr="00CD750C" w:rsidRDefault="00CD750C" w:rsidP="00CD750C">
      <w:pPr>
        <w:spacing w:after="0" w:line="240" w:lineRule="auto"/>
        <w:rPr>
          <w:rFonts w:cstheme="minorHAnsi"/>
          <w:b/>
          <w:sz w:val="24"/>
          <w:szCs w:val="24"/>
          <w:u w:val="single"/>
        </w:rPr>
      </w:pPr>
    </w:p>
    <w:p w14:paraId="70213AF5" w14:textId="77777777" w:rsidR="00AC4271" w:rsidRDefault="00AC4271" w:rsidP="00977C7C">
      <w:pPr>
        <w:spacing w:after="0" w:line="240" w:lineRule="auto"/>
        <w:rPr>
          <w:rFonts w:cstheme="minorHAnsi"/>
          <w:sz w:val="24"/>
          <w:szCs w:val="24"/>
        </w:rPr>
      </w:pPr>
    </w:p>
    <w:p w14:paraId="4A347D8A" w14:textId="77777777" w:rsidR="00AC4271" w:rsidRDefault="00AC4271" w:rsidP="00977C7C">
      <w:pPr>
        <w:spacing w:after="0" w:line="240" w:lineRule="auto"/>
        <w:rPr>
          <w:rFonts w:cstheme="minorHAnsi"/>
          <w:sz w:val="24"/>
          <w:szCs w:val="24"/>
        </w:rPr>
      </w:pPr>
    </w:p>
    <w:p w14:paraId="35C41F52" w14:textId="77777777" w:rsidR="00AC4271" w:rsidRDefault="00AC4271" w:rsidP="00977C7C">
      <w:pPr>
        <w:spacing w:after="0" w:line="240" w:lineRule="auto"/>
        <w:rPr>
          <w:rFonts w:cstheme="minorHAnsi"/>
          <w:sz w:val="24"/>
          <w:szCs w:val="24"/>
        </w:rPr>
      </w:pPr>
    </w:p>
    <w:p w14:paraId="510783C8" w14:textId="77777777" w:rsidR="00AC4271" w:rsidRDefault="00AC4271" w:rsidP="00977C7C">
      <w:pPr>
        <w:spacing w:after="0" w:line="240" w:lineRule="auto"/>
        <w:rPr>
          <w:rFonts w:cstheme="minorHAnsi"/>
          <w:sz w:val="24"/>
          <w:szCs w:val="24"/>
        </w:rPr>
      </w:pPr>
    </w:p>
    <w:p w14:paraId="3C713F11" w14:textId="77777777" w:rsidR="00AC4271" w:rsidRDefault="00AC4271" w:rsidP="00977C7C">
      <w:pPr>
        <w:spacing w:after="0" w:line="240" w:lineRule="auto"/>
        <w:rPr>
          <w:rFonts w:cstheme="minorHAnsi"/>
          <w:sz w:val="24"/>
          <w:szCs w:val="24"/>
        </w:rPr>
      </w:pPr>
    </w:p>
    <w:p w14:paraId="4B61E2AD" w14:textId="77777777" w:rsidR="00AC4271" w:rsidRDefault="00AC4271" w:rsidP="00977C7C">
      <w:pPr>
        <w:spacing w:after="0" w:line="240" w:lineRule="auto"/>
        <w:rPr>
          <w:rFonts w:cstheme="minorHAnsi"/>
          <w:sz w:val="24"/>
          <w:szCs w:val="24"/>
        </w:rPr>
      </w:pPr>
    </w:p>
    <w:p w14:paraId="4A475DC4" w14:textId="77777777" w:rsidR="00AC4271" w:rsidRDefault="00AC4271" w:rsidP="00977C7C">
      <w:pPr>
        <w:spacing w:after="0" w:line="240" w:lineRule="auto"/>
        <w:rPr>
          <w:rFonts w:cstheme="minorHAnsi"/>
          <w:sz w:val="24"/>
          <w:szCs w:val="24"/>
        </w:rPr>
      </w:pPr>
    </w:p>
    <w:p w14:paraId="230AABFB" w14:textId="77777777" w:rsidR="00AC4271" w:rsidRDefault="00AC4271" w:rsidP="00977C7C">
      <w:pPr>
        <w:spacing w:after="0" w:line="240" w:lineRule="auto"/>
        <w:rPr>
          <w:rFonts w:cstheme="minorHAnsi"/>
          <w:sz w:val="24"/>
          <w:szCs w:val="24"/>
        </w:rPr>
      </w:pPr>
    </w:p>
    <w:p w14:paraId="500B1930" w14:textId="2EE50557" w:rsidR="00544145" w:rsidRDefault="00544145" w:rsidP="00977C7C">
      <w:pPr>
        <w:spacing w:after="0" w:line="240" w:lineRule="auto"/>
        <w:rPr>
          <w:rFonts w:cstheme="minorHAnsi"/>
          <w:sz w:val="24"/>
          <w:szCs w:val="24"/>
        </w:rPr>
      </w:pPr>
      <w:r>
        <w:rPr>
          <w:rFonts w:cstheme="minorHAnsi"/>
          <w:sz w:val="24"/>
          <w:szCs w:val="24"/>
        </w:rPr>
        <w:lastRenderedPageBreak/>
        <w:t>Appendix 1</w:t>
      </w:r>
    </w:p>
    <w:p w14:paraId="54D218DC" w14:textId="77777777" w:rsidR="006B4CB2" w:rsidRDefault="00544145" w:rsidP="00977C7C">
      <w:pPr>
        <w:spacing w:after="0" w:line="240" w:lineRule="auto"/>
        <w:rPr>
          <w:rFonts w:cstheme="minorHAnsi"/>
          <w:sz w:val="24"/>
          <w:szCs w:val="24"/>
        </w:rPr>
      </w:pPr>
      <w:r w:rsidRPr="00544145">
        <w:rPr>
          <w:noProof/>
        </w:rPr>
        <w:drawing>
          <wp:inline distT="0" distB="0" distL="0" distR="0">
            <wp:extent cx="5731510" cy="823071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8230718"/>
                    </a:xfrm>
                    <a:prstGeom prst="rect">
                      <a:avLst/>
                    </a:prstGeom>
                    <a:noFill/>
                    <a:ln>
                      <a:noFill/>
                    </a:ln>
                  </pic:spPr>
                </pic:pic>
              </a:graphicData>
            </a:graphic>
          </wp:inline>
        </w:drawing>
      </w:r>
    </w:p>
    <w:p w14:paraId="1B108245" w14:textId="77777777" w:rsidR="006B4CB2" w:rsidRDefault="006B4CB2" w:rsidP="006B4CB2">
      <w:pPr>
        <w:tabs>
          <w:tab w:val="left" w:pos="2670"/>
        </w:tabs>
        <w:rPr>
          <w:rFonts w:cstheme="minorHAnsi"/>
          <w:sz w:val="24"/>
          <w:szCs w:val="24"/>
        </w:rPr>
      </w:pPr>
      <w:r>
        <w:rPr>
          <w:rFonts w:cstheme="minorHAnsi"/>
          <w:sz w:val="24"/>
          <w:szCs w:val="24"/>
        </w:rPr>
        <w:tab/>
      </w:r>
    </w:p>
    <w:p w14:paraId="63625C71" w14:textId="77777777" w:rsidR="006B4CB2" w:rsidRDefault="006B4CB2" w:rsidP="006B4CB2">
      <w:pPr>
        <w:tabs>
          <w:tab w:val="left" w:pos="2670"/>
        </w:tabs>
        <w:rPr>
          <w:rFonts w:cstheme="minorHAnsi"/>
          <w:sz w:val="24"/>
          <w:szCs w:val="24"/>
        </w:rPr>
      </w:pPr>
      <w:r>
        <w:rPr>
          <w:rFonts w:cstheme="minorHAnsi"/>
          <w:sz w:val="24"/>
          <w:szCs w:val="24"/>
        </w:rPr>
        <w:lastRenderedPageBreak/>
        <w:t xml:space="preserve">Appendix 2 </w:t>
      </w:r>
      <w:r w:rsidRPr="006B4CB2">
        <w:rPr>
          <w:rFonts w:cstheme="minorHAnsi"/>
          <w:b/>
          <w:sz w:val="24"/>
          <w:szCs w:val="24"/>
        </w:rPr>
        <w:t>OFFICIAL SENSITIVE – PERSONAL</w:t>
      </w:r>
      <w:r>
        <w:rPr>
          <w:rFonts w:cstheme="minorHAnsi"/>
          <w:sz w:val="24"/>
          <w:szCs w:val="24"/>
        </w:rPr>
        <w:t xml:space="preserve"> </w:t>
      </w:r>
    </w:p>
    <w:p w14:paraId="4F8150EA" w14:textId="77777777" w:rsidR="006B4CB2" w:rsidRPr="00101A8B" w:rsidRDefault="006B4CB2" w:rsidP="006B4CB2">
      <w:pPr>
        <w:spacing w:after="0"/>
        <w:rPr>
          <w:rFonts w:ascii="Arial" w:hAnsi="Arial" w:cs="Arial"/>
          <w:b/>
          <w:color w:val="31849B" w:themeColor="accent5" w:themeShade="BF"/>
          <w:sz w:val="40"/>
          <w:szCs w:val="40"/>
        </w:rPr>
      </w:pPr>
      <w:r w:rsidRPr="00101A8B">
        <w:rPr>
          <w:rFonts w:ascii="Arial" w:hAnsi="Arial" w:cs="Arial"/>
          <w:b/>
          <w:color w:val="31849B" w:themeColor="accent5" w:themeShade="BF"/>
          <w:sz w:val="40"/>
          <w:szCs w:val="40"/>
        </w:rPr>
        <w:t xml:space="preserve">Individual Learning Plan – Initial </w:t>
      </w:r>
    </w:p>
    <w:p w14:paraId="2F09F022" w14:textId="77777777" w:rsidR="006B4CB2" w:rsidRDefault="006B4CB2" w:rsidP="006B4CB2">
      <w:pPr>
        <w:spacing w:after="0"/>
        <w:rPr>
          <w:rFonts w:ascii="Arial" w:hAnsi="Arial" w:cs="Arial"/>
          <w:color w:val="31849B" w:themeColor="accent5" w:themeShade="BF"/>
        </w:rPr>
      </w:pPr>
    </w:p>
    <w:p w14:paraId="2B4E1B00" w14:textId="77777777" w:rsidR="006B4CB2" w:rsidRPr="001716D6" w:rsidRDefault="006B4CB2" w:rsidP="006B4CB2">
      <w:pPr>
        <w:spacing w:after="0"/>
        <w:rPr>
          <w:rFonts w:ascii="Arial" w:hAnsi="Arial" w:cs="Arial"/>
          <w:b/>
          <w:color w:val="31849B" w:themeColor="accent5" w:themeShade="BF"/>
          <w:u w:val="single"/>
        </w:rPr>
      </w:pPr>
      <w:r w:rsidRPr="001716D6">
        <w:rPr>
          <w:rFonts w:ascii="Arial" w:hAnsi="Arial" w:cs="Arial"/>
          <w:b/>
          <w:color w:val="31849B" w:themeColor="accent5" w:themeShade="BF"/>
          <w:u w:val="single"/>
        </w:rPr>
        <w:t xml:space="preserve">Pupil Details </w:t>
      </w:r>
    </w:p>
    <w:p w14:paraId="6E6E8FE3" w14:textId="77777777" w:rsidR="006B4CB2" w:rsidRPr="00E07033" w:rsidRDefault="006B4CB2" w:rsidP="006B4CB2">
      <w:pPr>
        <w:spacing w:after="0"/>
        <w:rPr>
          <w:rFonts w:ascii="Arial" w:hAnsi="Arial" w:cs="Arial"/>
          <w:color w:val="31849B" w:themeColor="accent5" w:themeShade="BF"/>
        </w:rPr>
      </w:pP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3282"/>
        <w:gridCol w:w="1822"/>
        <w:gridCol w:w="2214"/>
      </w:tblGrid>
      <w:tr w:rsidR="006B4CB2" w:rsidRPr="00E07033" w14:paraId="5626192D" w14:textId="77777777" w:rsidTr="006B4CB2">
        <w:trPr>
          <w:trHeight w:val="551"/>
        </w:trPr>
        <w:tc>
          <w:tcPr>
            <w:tcW w:w="2344" w:type="dxa"/>
            <w:shd w:val="clear" w:color="auto" w:fill="auto"/>
          </w:tcPr>
          <w:p w14:paraId="2292DCD8" w14:textId="77777777" w:rsidR="006B4CB2" w:rsidRPr="00101A8B" w:rsidRDefault="006B4CB2" w:rsidP="00E82F7D">
            <w:pPr>
              <w:spacing w:after="0"/>
              <w:rPr>
                <w:rFonts w:ascii="Arial" w:hAnsi="Arial" w:cs="Arial"/>
                <w:b/>
                <w:color w:val="31849B" w:themeColor="accent5" w:themeShade="BF"/>
              </w:rPr>
            </w:pPr>
            <w:r w:rsidRPr="00101A8B">
              <w:rPr>
                <w:rFonts w:ascii="Arial" w:hAnsi="Arial" w:cs="Arial"/>
                <w:b/>
                <w:color w:val="31849B" w:themeColor="accent5" w:themeShade="BF"/>
              </w:rPr>
              <w:t>Name:</w:t>
            </w:r>
          </w:p>
        </w:tc>
        <w:tc>
          <w:tcPr>
            <w:tcW w:w="3282" w:type="dxa"/>
            <w:shd w:val="clear" w:color="auto" w:fill="auto"/>
          </w:tcPr>
          <w:p w14:paraId="772F1B2A" w14:textId="77777777" w:rsidR="006B4CB2" w:rsidRPr="00E07033" w:rsidRDefault="006B4CB2" w:rsidP="00E82F7D">
            <w:pPr>
              <w:spacing w:after="0"/>
              <w:rPr>
                <w:rFonts w:ascii="Arial" w:hAnsi="Arial" w:cs="Arial"/>
                <w:color w:val="31849B" w:themeColor="accent5" w:themeShade="BF"/>
              </w:rPr>
            </w:pPr>
          </w:p>
          <w:p w14:paraId="65320C26" w14:textId="77777777" w:rsidR="006B4CB2" w:rsidRPr="00E07033" w:rsidRDefault="006B4CB2" w:rsidP="00E82F7D">
            <w:pPr>
              <w:spacing w:after="0"/>
              <w:rPr>
                <w:rFonts w:ascii="Arial" w:hAnsi="Arial" w:cs="Arial"/>
                <w:color w:val="31849B" w:themeColor="accent5" w:themeShade="BF"/>
              </w:rPr>
            </w:pPr>
          </w:p>
        </w:tc>
        <w:tc>
          <w:tcPr>
            <w:tcW w:w="1822" w:type="dxa"/>
            <w:shd w:val="clear" w:color="auto" w:fill="auto"/>
          </w:tcPr>
          <w:p w14:paraId="4C08EB3D" w14:textId="77777777" w:rsidR="006B4CB2" w:rsidRPr="00101A8B" w:rsidRDefault="006B4CB2" w:rsidP="00E82F7D">
            <w:pPr>
              <w:spacing w:after="0"/>
              <w:rPr>
                <w:rFonts w:ascii="Arial" w:hAnsi="Arial" w:cs="Arial"/>
                <w:b/>
                <w:color w:val="31849B" w:themeColor="accent5" w:themeShade="BF"/>
              </w:rPr>
            </w:pPr>
            <w:r w:rsidRPr="00101A8B">
              <w:rPr>
                <w:rFonts w:ascii="Arial" w:hAnsi="Arial" w:cs="Arial"/>
                <w:b/>
                <w:color w:val="31849B" w:themeColor="accent5" w:themeShade="BF"/>
              </w:rPr>
              <w:t>Date of Birth:</w:t>
            </w:r>
          </w:p>
        </w:tc>
        <w:tc>
          <w:tcPr>
            <w:tcW w:w="2214" w:type="dxa"/>
            <w:shd w:val="clear" w:color="auto" w:fill="auto"/>
          </w:tcPr>
          <w:p w14:paraId="0D357069" w14:textId="77777777" w:rsidR="006B4CB2" w:rsidRPr="00E07033" w:rsidRDefault="006B4CB2" w:rsidP="00E82F7D">
            <w:pPr>
              <w:spacing w:after="0"/>
              <w:rPr>
                <w:rFonts w:ascii="Arial" w:hAnsi="Arial" w:cs="Arial"/>
                <w:color w:val="31849B" w:themeColor="accent5" w:themeShade="BF"/>
              </w:rPr>
            </w:pPr>
          </w:p>
        </w:tc>
      </w:tr>
      <w:tr w:rsidR="006B4CB2" w:rsidRPr="00E07033" w14:paraId="57DFC17D" w14:textId="77777777" w:rsidTr="006B4CB2">
        <w:trPr>
          <w:trHeight w:val="566"/>
        </w:trPr>
        <w:tc>
          <w:tcPr>
            <w:tcW w:w="2344" w:type="dxa"/>
            <w:shd w:val="clear" w:color="auto" w:fill="auto"/>
          </w:tcPr>
          <w:p w14:paraId="0EA0B38F" w14:textId="77777777" w:rsidR="006B4CB2" w:rsidRPr="00101A8B" w:rsidRDefault="006B4CB2" w:rsidP="00E82F7D">
            <w:pPr>
              <w:spacing w:after="0"/>
              <w:rPr>
                <w:rFonts w:ascii="Arial" w:hAnsi="Arial" w:cs="Arial"/>
                <w:b/>
                <w:color w:val="31849B" w:themeColor="accent5" w:themeShade="BF"/>
              </w:rPr>
            </w:pPr>
            <w:r w:rsidRPr="00101A8B">
              <w:rPr>
                <w:rFonts w:ascii="Arial" w:hAnsi="Arial" w:cs="Arial"/>
                <w:b/>
                <w:color w:val="31849B" w:themeColor="accent5" w:themeShade="BF"/>
              </w:rPr>
              <w:t xml:space="preserve">Preferred name </w:t>
            </w:r>
          </w:p>
          <w:p w14:paraId="4615311E" w14:textId="77777777" w:rsidR="006B4CB2" w:rsidRPr="00101A8B" w:rsidRDefault="006B4CB2" w:rsidP="00E82F7D">
            <w:pPr>
              <w:spacing w:after="0"/>
              <w:rPr>
                <w:rFonts w:ascii="Arial" w:hAnsi="Arial" w:cs="Arial"/>
                <w:b/>
                <w:color w:val="31849B" w:themeColor="accent5" w:themeShade="BF"/>
              </w:rPr>
            </w:pPr>
            <w:r w:rsidRPr="00101A8B">
              <w:rPr>
                <w:rFonts w:ascii="Arial" w:hAnsi="Arial" w:cs="Arial"/>
                <w:b/>
                <w:color w:val="31849B" w:themeColor="accent5" w:themeShade="BF"/>
              </w:rPr>
              <w:t>(known as):</w:t>
            </w:r>
          </w:p>
        </w:tc>
        <w:tc>
          <w:tcPr>
            <w:tcW w:w="3282" w:type="dxa"/>
            <w:shd w:val="clear" w:color="auto" w:fill="auto"/>
          </w:tcPr>
          <w:p w14:paraId="360A2045" w14:textId="77777777" w:rsidR="006B4CB2" w:rsidRPr="00E07033" w:rsidRDefault="006B4CB2" w:rsidP="00E82F7D">
            <w:pPr>
              <w:spacing w:after="0"/>
              <w:rPr>
                <w:rFonts w:ascii="Arial" w:hAnsi="Arial" w:cs="Arial"/>
                <w:color w:val="31849B" w:themeColor="accent5" w:themeShade="BF"/>
              </w:rPr>
            </w:pPr>
          </w:p>
        </w:tc>
        <w:tc>
          <w:tcPr>
            <w:tcW w:w="1822" w:type="dxa"/>
            <w:shd w:val="clear" w:color="auto" w:fill="auto"/>
          </w:tcPr>
          <w:p w14:paraId="3D84BEC6" w14:textId="77777777" w:rsidR="006B4CB2" w:rsidRPr="00101A8B" w:rsidRDefault="006B4CB2" w:rsidP="00E82F7D">
            <w:pPr>
              <w:spacing w:after="0"/>
              <w:rPr>
                <w:rFonts w:ascii="Arial" w:hAnsi="Arial" w:cs="Arial"/>
                <w:b/>
                <w:color w:val="31849B" w:themeColor="accent5" w:themeShade="BF"/>
              </w:rPr>
            </w:pPr>
            <w:r w:rsidRPr="00101A8B">
              <w:rPr>
                <w:rFonts w:ascii="Arial" w:hAnsi="Arial" w:cs="Arial"/>
                <w:b/>
                <w:color w:val="31849B" w:themeColor="accent5" w:themeShade="BF"/>
              </w:rPr>
              <w:t>Gender:</w:t>
            </w:r>
          </w:p>
        </w:tc>
        <w:tc>
          <w:tcPr>
            <w:tcW w:w="2214" w:type="dxa"/>
            <w:shd w:val="clear" w:color="auto" w:fill="auto"/>
          </w:tcPr>
          <w:p w14:paraId="28978540" w14:textId="77777777" w:rsidR="006B4CB2" w:rsidRPr="00E07033" w:rsidRDefault="006B4CB2" w:rsidP="00E82F7D">
            <w:pPr>
              <w:spacing w:after="0"/>
              <w:rPr>
                <w:rFonts w:ascii="Arial" w:hAnsi="Arial" w:cs="Arial"/>
                <w:color w:val="31849B" w:themeColor="accent5" w:themeShade="BF"/>
              </w:rPr>
            </w:pPr>
          </w:p>
        </w:tc>
      </w:tr>
      <w:tr w:rsidR="006B4CB2" w:rsidRPr="00E07033" w14:paraId="5FACAB41" w14:textId="77777777" w:rsidTr="006B4CB2">
        <w:trPr>
          <w:trHeight w:val="551"/>
        </w:trPr>
        <w:tc>
          <w:tcPr>
            <w:tcW w:w="2344" w:type="dxa"/>
            <w:shd w:val="clear" w:color="auto" w:fill="auto"/>
          </w:tcPr>
          <w:p w14:paraId="3E0EBF10" w14:textId="77777777" w:rsidR="006B4CB2" w:rsidRPr="00101A8B" w:rsidRDefault="006B4CB2" w:rsidP="00E82F7D">
            <w:pPr>
              <w:spacing w:after="0"/>
              <w:rPr>
                <w:rFonts w:ascii="Arial" w:hAnsi="Arial" w:cs="Arial"/>
                <w:b/>
                <w:color w:val="31849B" w:themeColor="accent5" w:themeShade="BF"/>
              </w:rPr>
            </w:pPr>
            <w:r w:rsidRPr="00101A8B">
              <w:rPr>
                <w:rFonts w:ascii="Arial" w:hAnsi="Arial" w:cs="Arial"/>
                <w:b/>
                <w:color w:val="31849B" w:themeColor="accent5" w:themeShade="BF"/>
              </w:rPr>
              <w:t>School:</w:t>
            </w:r>
          </w:p>
          <w:p w14:paraId="56C49CCE" w14:textId="77777777" w:rsidR="006B4CB2" w:rsidRPr="00101A8B" w:rsidRDefault="006B4CB2" w:rsidP="00E82F7D">
            <w:pPr>
              <w:spacing w:after="0"/>
              <w:rPr>
                <w:rFonts w:ascii="Arial" w:hAnsi="Arial" w:cs="Arial"/>
                <w:b/>
                <w:color w:val="31849B" w:themeColor="accent5" w:themeShade="BF"/>
              </w:rPr>
            </w:pPr>
          </w:p>
        </w:tc>
        <w:tc>
          <w:tcPr>
            <w:tcW w:w="3282" w:type="dxa"/>
            <w:shd w:val="clear" w:color="auto" w:fill="auto"/>
          </w:tcPr>
          <w:p w14:paraId="4FC07C6D" w14:textId="77777777" w:rsidR="006B4CB2" w:rsidRPr="00E07033" w:rsidRDefault="006B4CB2" w:rsidP="00E82F7D">
            <w:pPr>
              <w:spacing w:after="0"/>
              <w:rPr>
                <w:rFonts w:ascii="Arial" w:hAnsi="Arial" w:cs="Arial"/>
                <w:color w:val="31849B" w:themeColor="accent5" w:themeShade="BF"/>
              </w:rPr>
            </w:pPr>
          </w:p>
        </w:tc>
        <w:tc>
          <w:tcPr>
            <w:tcW w:w="1822" w:type="dxa"/>
            <w:shd w:val="clear" w:color="auto" w:fill="auto"/>
          </w:tcPr>
          <w:p w14:paraId="26724986" w14:textId="77777777" w:rsidR="006B4CB2" w:rsidRPr="00101A8B" w:rsidRDefault="006B4CB2" w:rsidP="00E82F7D">
            <w:pPr>
              <w:spacing w:after="0"/>
              <w:rPr>
                <w:rFonts w:ascii="Arial" w:hAnsi="Arial" w:cs="Arial"/>
                <w:b/>
                <w:color w:val="31849B" w:themeColor="accent5" w:themeShade="BF"/>
              </w:rPr>
            </w:pPr>
            <w:r w:rsidRPr="00101A8B">
              <w:rPr>
                <w:rFonts w:ascii="Arial" w:hAnsi="Arial" w:cs="Arial"/>
                <w:b/>
                <w:color w:val="31849B" w:themeColor="accent5" w:themeShade="BF"/>
              </w:rPr>
              <w:t>Year Group:</w:t>
            </w:r>
          </w:p>
        </w:tc>
        <w:tc>
          <w:tcPr>
            <w:tcW w:w="2214" w:type="dxa"/>
            <w:shd w:val="clear" w:color="auto" w:fill="auto"/>
          </w:tcPr>
          <w:p w14:paraId="097B710D" w14:textId="77777777" w:rsidR="006B4CB2" w:rsidRPr="00E07033" w:rsidRDefault="006B4CB2" w:rsidP="00E82F7D">
            <w:pPr>
              <w:spacing w:after="0"/>
              <w:rPr>
                <w:rFonts w:ascii="Arial" w:hAnsi="Arial" w:cs="Arial"/>
                <w:color w:val="31849B" w:themeColor="accent5" w:themeShade="BF"/>
              </w:rPr>
            </w:pPr>
          </w:p>
        </w:tc>
      </w:tr>
      <w:tr w:rsidR="006B4CB2" w:rsidRPr="00E07033" w14:paraId="7772E4E5" w14:textId="77777777" w:rsidTr="006B4CB2">
        <w:trPr>
          <w:trHeight w:val="551"/>
        </w:trPr>
        <w:tc>
          <w:tcPr>
            <w:tcW w:w="2344" w:type="dxa"/>
            <w:shd w:val="clear" w:color="auto" w:fill="auto"/>
          </w:tcPr>
          <w:p w14:paraId="7E32CAE7" w14:textId="77777777" w:rsidR="006B4CB2" w:rsidRPr="00101A8B" w:rsidRDefault="006B4CB2" w:rsidP="00E82F7D">
            <w:pPr>
              <w:spacing w:after="0"/>
              <w:rPr>
                <w:rFonts w:ascii="Arial" w:hAnsi="Arial" w:cs="Arial"/>
                <w:b/>
                <w:color w:val="31849B" w:themeColor="accent5" w:themeShade="BF"/>
              </w:rPr>
            </w:pPr>
            <w:r w:rsidRPr="00101A8B">
              <w:rPr>
                <w:rFonts w:ascii="Arial" w:hAnsi="Arial" w:cs="Arial"/>
                <w:b/>
                <w:color w:val="31849B" w:themeColor="accent5" w:themeShade="BF"/>
              </w:rPr>
              <w:t xml:space="preserve">Individual Learning Plan Start Date: </w:t>
            </w:r>
          </w:p>
        </w:tc>
        <w:tc>
          <w:tcPr>
            <w:tcW w:w="3282" w:type="dxa"/>
            <w:shd w:val="clear" w:color="auto" w:fill="auto"/>
          </w:tcPr>
          <w:p w14:paraId="7D9F0E81" w14:textId="77777777" w:rsidR="006B4CB2" w:rsidRPr="00E07033" w:rsidRDefault="006B4CB2" w:rsidP="00E82F7D">
            <w:pPr>
              <w:spacing w:after="0"/>
              <w:rPr>
                <w:rFonts w:ascii="Arial" w:hAnsi="Arial" w:cs="Arial"/>
                <w:color w:val="31849B" w:themeColor="accent5" w:themeShade="BF"/>
              </w:rPr>
            </w:pPr>
          </w:p>
        </w:tc>
        <w:tc>
          <w:tcPr>
            <w:tcW w:w="1822" w:type="dxa"/>
            <w:shd w:val="clear" w:color="auto" w:fill="auto"/>
          </w:tcPr>
          <w:p w14:paraId="59FC5E2D" w14:textId="77777777" w:rsidR="006B4CB2" w:rsidRPr="00101A8B" w:rsidRDefault="006B4CB2" w:rsidP="00E82F7D">
            <w:pPr>
              <w:spacing w:after="0"/>
              <w:rPr>
                <w:rFonts w:ascii="Arial" w:hAnsi="Arial" w:cs="Arial"/>
                <w:b/>
                <w:color w:val="31849B" w:themeColor="accent5" w:themeShade="BF"/>
              </w:rPr>
            </w:pPr>
            <w:r w:rsidRPr="00101A8B">
              <w:rPr>
                <w:rFonts w:ascii="Arial" w:hAnsi="Arial" w:cs="Arial"/>
                <w:b/>
                <w:color w:val="31849B" w:themeColor="accent5" w:themeShade="BF"/>
              </w:rPr>
              <w:t xml:space="preserve">Review Date: </w:t>
            </w:r>
          </w:p>
        </w:tc>
        <w:tc>
          <w:tcPr>
            <w:tcW w:w="2214" w:type="dxa"/>
            <w:shd w:val="clear" w:color="auto" w:fill="auto"/>
          </w:tcPr>
          <w:p w14:paraId="41B5D32B" w14:textId="77777777" w:rsidR="006B4CB2" w:rsidRPr="00E07033" w:rsidRDefault="006B4CB2" w:rsidP="00E82F7D">
            <w:pPr>
              <w:spacing w:after="0"/>
              <w:rPr>
                <w:rFonts w:ascii="Arial" w:hAnsi="Arial" w:cs="Arial"/>
                <w:color w:val="31849B" w:themeColor="accent5" w:themeShade="BF"/>
              </w:rPr>
            </w:pPr>
          </w:p>
        </w:tc>
      </w:tr>
    </w:tbl>
    <w:p w14:paraId="0DC421F3" w14:textId="77777777" w:rsidR="006B4CB2" w:rsidRDefault="006B4CB2" w:rsidP="006B4CB2">
      <w:pPr>
        <w:spacing w:after="0"/>
        <w:rPr>
          <w:rFonts w:ascii="Arial" w:hAnsi="Arial" w:cs="Arial"/>
          <w:color w:val="31849B" w:themeColor="accent5" w:themeShade="BF"/>
        </w:rPr>
      </w:pPr>
    </w:p>
    <w:p w14:paraId="38572B63" w14:textId="77777777" w:rsidR="006B4CB2" w:rsidRPr="001716D6" w:rsidRDefault="006B4CB2" w:rsidP="006B4CB2">
      <w:pPr>
        <w:spacing w:after="0"/>
        <w:rPr>
          <w:rFonts w:ascii="Arial" w:hAnsi="Arial" w:cs="Arial"/>
          <w:b/>
          <w:color w:val="31849B" w:themeColor="accent5" w:themeShade="BF"/>
          <w:u w:val="single"/>
        </w:rPr>
      </w:pPr>
      <w:r w:rsidRPr="001716D6">
        <w:rPr>
          <w:rFonts w:ascii="Arial" w:hAnsi="Arial" w:cs="Arial"/>
          <w:b/>
          <w:color w:val="31849B" w:themeColor="accent5" w:themeShade="BF"/>
          <w:u w:val="single"/>
        </w:rPr>
        <w:t>Specialist involvement</w:t>
      </w:r>
    </w:p>
    <w:p w14:paraId="03285314" w14:textId="77777777" w:rsidR="006B4CB2" w:rsidRDefault="006B4CB2" w:rsidP="006B4CB2">
      <w:pPr>
        <w:spacing w:after="0"/>
        <w:rPr>
          <w:rFonts w:ascii="Arial" w:hAnsi="Arial" w:cs="Arial"/>
          <w:color w:val="31849B" w:themeColor="accent5" w:themeShade="BF"/>
        </w:rPr>
      </w:pPr>
    </w:p>
    <w:tbl>
      <w:tblPr>
        <w:tblStyle w:val="TableGrid"/>
        <w:tblW w:w="0" w:type="auto"/>
        <w:tblLook w:val="04A0" w:firstRow="1" w:lastRow="0" w:firstColumn="1" w:lastColumn="0" w:noHBand="0" w:noVBand="1"/>
      </w:tblPr>
      <w:tblGrid>
        <w:gridCol w:w="4518"/>
        <w:gridCol w:w="4498"/>
      </w:tblGrid>
      <w:tr w:rsidR="006B4CB2" w:rsidRPr="00324547" w14:paraId="3B4FA82F" w14:textId="77777777" w:rsidTr="00E82F7D">
        <w:tc>
          <w:tcPr>
            <w:tcW w:w="5228" w:type="dxa"/>
          </w:tcPr>
          <w:p w14:paraId="3D07DF23" w14:textId="77777777" w:rsidR="006B4CB2" w:rsidRPr="00324547" w:rsidRDefault="006B4CB2" w:rsidP="00E82F7D">
            <w:pPr>
              <w:rPr>
                <w:rFonts w:ascii="Arial" w:hAnsi="Arial" w:cs="Arial"/>
                <w:b/>
                <w:color w:val="31849B" w:themeColor="accent5" w:themeShade="BF"/>
              </w:rPr>
            </w:pPr>
            <w:r w:rsidRPr="00324547">
              <w:rPr>
                <w:rFonts w:ascii="Arial" w:hAnsi="Arial" w:cs="Arial"/>
                <w:b/>
                <w:color w:val="31849B" w:themeColor="accent5" w:themeShade="BF"/>
              </w:rPr>
              <w:t xml:space="preserve">Name: </w:t>
            </w:r>
          </w:p>
        </w:tc>
        <w:tc>
          <w:tcPr>
            <w:tcW w:w="5228" w:type="dxa"/>
          </w:tcPr>
          <w:p w14:paraId="72081662" w14:textId="77777777" w:rsidR="006B4CB2" w:rsidRPr="00324547" w:rsidRDefault="006B4CB2" w:rsidP="00E82F7D">
            <w:pPr>
              <w:rPr>
                <w:rFonts w:ascii="Arial" w:hAnsi="Arial" w:cs="Arial"/>
                <w:b/>
                <w:color w:val="31849B" w:themeColor="accent5" w:themeShade="BF"/>
              </w:rPr>
            </w:pPr>
            <w:r w:rsidRPr="00324547">
              <w:rPr>
                <w:rFonts w:ascii="Arial" w:hAnsi="Arial" w:cs="Arial"/>
                <w:b/>
                <w:color w:val="31849B" w:themeColor="accent5" w:themeShade="BF"/>
              </w:rPr>
              <w:t xml:space="preserve">Role: </w:t>
            </w:r>
          </w:p>
        </w:tc>
      </w:tr>
      <w:tr w:rsidR="006B4CB2" w:rsidRPr="00101A8B" w14:paraId="1AF5BCF2" w14:textId="77777777" w:rsidTr="00E82F7D">
        <w:tc>
          <w:tcPr>
            <w:tcW w:w="5228" w:type="dxa"/>
          </w:tcPr>
          <w:p w14:paraId="79F3F334" w14:textId="77777777" w:rsidR="006B4CB2" w:rsidRPr="00101A8B" w:rsidRDefault="006B4CB2" w:rsidP="00E82F7D">
            <w:pPr>
              <w:rPr>
                <w:rFonts w:ascii="Arial" w:hAnsi="Arial" w:cs="Arial"/>
                <w:color w:val="31849B" w:themeColor="accent5" w:themeShade="BF"/>
              </w:rPr>
            </w:pPr>
          </w:p>
          <w:p w14:paraId="1EC613D2" w14:textId="77777777" w:rsidR="006B4CB2" w:rsidRPr="00101A8B" w:rsidRDefault="006B4CB2" w:rsidP="00E82F7D">
            <w:pPr>
              <w:rPr>
                <w:rFonts w:ascii="Arial" w:hAnsi="Arial" w:cs="Arial"/>
                <w:color w:val="31849B" w:themeColor="accent5" w:themeShade="BF"/>
              </w:rPr>
            </w:pPr>
          </w:p>
        </w:tc>
        <w:tc>
          <w:tcPr>
            <w:tcW w:w="5228" w:type="dxa"/>
          </w:tcPr>
          <w:p w14:paraId="2FF31191" w14:textId="77777777" w:rsidR="006B4CB2" w:rsidRPr="00101A8B" w:rsidRDefault="006B4CB2" w:rsidP="00E82F7D">
            <w:pPr>
              <w:rPr>
                <w:rFonts w:ascii="Arial" w:hAnsi="Arial" w:cs="Arial"/>
                <w:color w:val="31849B" w:themeColor="accent5" w:themeShade="BF"/>
              </w:rPr>
            </w:pPr>
          </w:p>
        </w:tc>
      </w:tr>
      <w:tr w:rsidR="006B4CB2" w:rsidRPr="00101A8B" w14:paraId="420015F4" w14:textId="77777777" w:rsidTr="00E82F7D">
        <w:tc>
          <w:tcPr>
            <w:tcW w:w="5228" w:type="dxa"/>
          </w:tcPr>
          <w:p w14:paraId="605E5E83" w14:textId="77777777" w:rsidR="006B4CB2" w:rsidRPr="00101A8B" w:rsidRDefault="006B4CB2" w:rsidP="00E82F7D">
            <w:pPr>
              <w:rPr>
                <w:rFonts w:ascii="Arial" w:hAnsi="Arial" w:cs="Arial"/>
                <w:color w:val="31849B" w:themeColor="accent5" w:themeShade="BF"/>
              </w:rPr>
            </w:pPr>
          </w:p>
          <w:p w14:paraId="1F5CB630" w14:textId="77777777" w:rsidR="006B4CB2" w:rsidRPr="00101A8B" w:rsidRDefault="006B4CB2" w:rsidP="00E82F7D">
            <w:pPr>
              <w:rPr>
                <w:rFonts w:ascii="Arial" w:hAnsi="Arial" w:cs="Arial"/>
                <w:color w:val="31849B" w:themeColor="accent5" w:themeShade="BF"/>
              </w:rPr>
            </w:pPr>
          </w:p>
        </w:tc>
        <w:tc>
          <w:tcPr>
            <w:tcW w:w="5228" w:type="dxa"/>
          </w:tcPr>
          <w:p w14:paraId="42C606CF" w14:textId="77777777" w:rsidR="006B4CB2" w:rsidRPr="00101A8B" w:rsidRDefault="006B4CB2" w:rsidP="00E82F7D">
            <w:pPr>
              <w:rPr>
                <w:rFonts w:ascii="Arial" w:hAnsi="Arial" w:cs="Arial"/>
                <w:color w:val="31849B" w:themeColor="accent5" w:themeShade="BF"/>
              </w:rPr>
            </w:pPr>
          </w:p>
        </w:tc>
      </w:tr>
      <w:tr w:rsidR="006B4CB2" w:rsidRPr="00101A8B" w14:paraId="32A216C6" w14:textId="77777777" w:rsidTr="00E82F7D">
        <w:tc>
          <w:tcPr>
            <w:tcW w:w="5228" w:type="dxa"/>
          </w:tcPr>
          <w:p w14:paraId="18571AEB" w14:textId="77777777" w:rsidR="006B4CB2" w:rsidRPr="00101A8B" w:rsidRDefault="006B4CB2" w:rsidP="00E82F7D">
            <w:pPr>
              <w:rPr>
                <w:rFonts w:ascii="Arial" w:hAnsi="Arial" w:cs="Arial"/>
                <w:color w:val="31849B" w:themeColor="accent5" w:themeShade="BF"/>
              </w:rPr>
            </w:pPr>
          </w:p>
          <w:p w14:paraId="60B064B6" w14:textId="77777777" w:rsidR="006B4CB2" w:rsidRPr="00101A8B" w:rsidRDefault="006B4CB2" w:rsidP="00E82F7D">
            <w:pPr>
              <w:rPr>
                <w:rFonts w:ascii="Arial" w:hAnsi="Arial" w:cs="Arial"/>
                <w:color w:val="31849B" w:themeColor="accent5" w:themeShade="BF"/>
              </w:rPr>
            </w:pPr>
          </w:p>
        </w:tc>
        <w:tc>
          <w:tcPr>
            <w:tcW w:w="5228" w:type="dxa"/>
          </w:tcPr>
          <w:p w14:paraId="6A1494EC" w14:textId="77777777" w:rsidR="006B4CB2" w:rsidRPr="00101A8B" w:rsidRDefault="006B4CB2" w:rsidP="00E82F7D">
            <w:pPr>
              <w:rPr>
                <w:rFonts w:ascii="Arial" w:hAnsi="Arial" w:cs="Arial"/>
                <w:color w:val="31849B" w:themeColor="accent5" w:themeShade="BF"/>
              </w:rPr>
            </w:pPr>
          </w:p>
        </w:tc>
      </w:tr>
    </w:tbl>
    <w:p w14:paraId="0F507922" w14:textId="77777777" w:rsidR="006B4CB2" w:rsidRDefault="006B4CB2" w:rsidP="006B4CB2">
      <w:pPr>
        <w:spacing w:after="0"/>
        <w:rPr>
          <w:rFonts w:ascii="Arial" w:hAnsi="Arial" w:cs="Arial"/>
          <w:color w:val="31849B" w:themeColor="accent5" w:themeShade="BF"/>
        </w:rPr>
      </w:pPr>
    </w:p>
    <w:p w14:paraId="1D43C09B" w14:textId="77777777" w:rsidR="006B4CB2" w:rsidRDefault="006B4CB2" w:rsidP="006B4CB2">
      <w:pPr>
        <w:spacing w:after="0"/>
        <w:rPr>
          <w:rFonts w:ascii="Arial" w:hAnsi="Arial" w:cs="Arial"/>
          <w:b/>
          <w:color w:val="31849B" w:themeColor="accent5" w:themeShade="BF"/>
          <w:u w:val="single"/>
        </w:rPr>
      </w:pPr>
      <w:r w:rsidRPr="001716D6">
        <w:rPr>
          <w:rFonts w:ascii="Arial" w:hAnsi="Arial" w:cs="Arial"/>
          <w:b/>
          <w:color w:val="31849B" w:themeColor="accent5" w:themeShade="BF"/>
          <w:u w:val="single"/>
        </w:rPr>
        <w:t xml:space="preserve">Background Information </w:t>
      </w:r>
    </w:p>
    <w:p w14:paraId="4B40B713" w14:textId="77777777" w:rsidR="006B4CB2" w:rsidRPr="001716D6" w:rsidRDefault="006B4CB2" w:rsidP="006B4CB2">
      <w:pPr>
        <w:spacing w:after="0"/>
        <w:rPr>
          <w:rFonts w:ascii="Arial" w:hAnsi="Arial" w:cs="Arial"/>
          <w:b/>
          <w:color w:val="31849B" w:themeColor="accent5" w:themeShade="BF"/>
          <w:u w:val="single"/>
        </w:rPr>
      </w:pPr>
    </w:p>
    <w:tbl>
      <w:tblPr>
        <w:tblStyle w:val="TableGrid"/>
        <w:tblW w:w="0" w:type="auto"/>
        <w:tblLook w:val="04A0" w:firstRow="1" w:lastRow="0" w:firstColumn="1" w:lastColumn="0" w:noHBand="0" w:noVBand="1"/>
      </w:tblPr>
      <w:tblGrid>
        <w:gridCol w:w="9016"/>
      </w:tblGrid>
      <w:tr w:rsidR="006B4CB2" w14:paraId="2BFCAF22" w14:textId="77777777" w:rsidTr="00E82F7D">
        <w:tc>
          <w:tcPr>
            <w:tcW w:w="10456" w:type="dxa"/>
          </w:tcPr>
          <w:p w14:paraId="0CBC39A9" w14:textId="77777777" w:rsidR="006B4CB2" w:rsidRPr="00324547" w:rsidRDefault="006B4CB2" w:rsidP="00E82F7D">
            <w:pPr>
              <w:rPr>
                <w:rFonts w:ascii="Arial" w:hAnsi="Arial" w:cs="Arial"/>
                <w:b/>
                <w:color w:val="31849B" w:themeColor="accent5" w:themeShade="BF"/>
              </w:rPr>
            </w:pPr>
            <w:r w:rsidRPr="00324547">
              <w:rPr>
                <w:rFonts w:ascii="Arial" w:hAnsi="Arial" w:cs="Arial"/>
                <w:b/>
                <w:color w:val="31849B" w:themeColor="accent5" w:themeShade="BF"/>
              </w:rPr>
              <w:t xml:space="preserve">Areas of concern: </w:t>
            </w:r>
          </w:p>
        </w:tc>
      </w:tr>
      <w:tr w:rsidR="006B4CB2" w:rsidRPr="00101A8B" w14:paraId="25D16407" w14:textId="77777777" w:rsidTr="00E82F7D">
        <w:tc>
          <w:tcPr>
            <w:tcW w:w="10456" w:type="dxa"/>
          </w:tcPr>
          <w:p w14:paraId="17D781AC" w14:textId="77777777" w:rsidR="006B4CB2" w:rsidRPr="00101A8B" w:rsidRDefault="006B4CB2" w:rsidP="00E82F7D">
            <w:pPr>
              <w:rPr>
                <w:rFonts w:ascii="Arial" w:hAnsi="Arial" w:cs="Arial"/>
                <w:color w:val="31849B" w:themeColor="accent5" w:themeShade="BF"/>
              </w:rPr>
            </w:pPr>
          </w:p>
          <w:p w14:paraId="4196608D" w14:textId="77777777" w:rsidR="006B4CB2" w:rsidRPr="00101A8B" w:rsidRDefault="006B4CB2" w:rsidP="00E82F7D">
            <w:pPr>
              <w:rPr>
                <w:rFonts w:ascii="Arial" w:hAnsi="Arial" w:cs="Arial"/>
                <w:color w:val="31849B" w:themeColor="accent5" w:themeShade="BF"/>
              </w:rPr>
            </w:pPr>
          </w:p>
          <w:p w14:paraId="4102DC7C" w14:textId="77777777" w:rsidR="006B4CB2" w:rsidRPr="00101A8B" w:rsidRDefault="006B4CB2" w:rsidP="00E82F7D">
            <w:pPr>
              <w:rPr>
                <w:rFonts w:ascii="Arial" w:hAnsi="Arial" w:cs="Arial"/>
                <w:color w:val="31849B" w:themeColor="accent5" w:themeShade="BF"/>
              </w:rPr>
            </w:pPr>
          </w:p>
        </w:tc>
      </w:tr>
      <w:tr w:rsidR="006B4CB2" w14:paraId="6339F6C3" w14:textId="77777777" w:rsidTr="00E82F7D">
        <w:tc>
          <w:tcPr>
            <w:tcW w:w="10456" w:type="dxa"/>
          </w:tcPr>
          <w:p w14:paraId="6CF7385B" w14:textId="77777777" w:rsidR="006B4CB2" w:rsidRPr="00324547" w:rsidRDefault="006B4CB2" w:rsidP="00E82F7D">
            <w:pPr>
              <w:rPr>
                <w:rFonts w:ascii="Arial" w:hAnsi="Arial" w:cs="Arial"/>
                <w:b/>
                <w:color w:val="31849B" w:themeColor="accent5" w:themeShade="BF"/>
              </w:rPr>
            </w:pPr>
            <w:r>
              <w:rPr>
                <w:rFonts w:ascii="Arial" w:hAnsi="Arial" w:cs="Arial"/>
                <w:b/>
                <w:color w:val="31849B" w:themeColor="accent5" w:themeShade="BF"/>
              </w:rPr>
              <w:t xml:space="preserve">Assessment Information: </w:t>
            </w:r>
          </w:p>
        </w:tc>
      </w:tr>
      <w:tr w:rsidR="006B4CB2" w:rsidRPr="00101A8B" w14:paraId="3E3C3B89" w14:textId="77777777" w:rsidTr="00E82F7D">
        <w:tc>
          <w:tcPr>
            <w:tcW w:w="10456" w:type="dxa"/>
          </w:tcPr>
          <w:p w14:paraId="41BC92D9" w14:textId="77777777" w:rsidR="006B4CB2" w:rsidRPr="00101A8B" w:rsidRDefault="006B4CB2" w:rsidP="00E82F7D">
            <w:pPr>
              <w:rPr>
                <w:rFonts w:ascii="Arial" w:hAnsi="Arial" w:cs="Arial"/>
                <w:color w:val="31849B" w:themeColor="accent5" w:themeShade="BF"/>
              </w:rPr>
            </w:pPr>
          </w:p>
          <w:p w14:paraId="7A5A59E8" w14:textId="77777777" w:rsidR="006B4CB2" w:rsidRPr="00101A8B" w:rsidRDefault="006B4CB2" w:rsidP="00E82F7D">
            <w:pPr>
              <w:rPr>
                <w:rFonts w:ascii="Arial" w:hAnsi="Arial" w:cs="Arial"/>
                <w:color w:val="31849B" w:themeColor="accent5" w:themeShade="BF"/>
              </w:rPr>
            </w:pPr>
          </w:p>
          <w:p w14:paraId="773819A1" w14:textId="77777777" w:rsidR="006B4CB2" w:rsidRPr="00101A8B" w:rsidRDefault="006B4CB2" w:rsidP="00E82F7D">
            <w:pPr>
              <w:rPr>
                <w:rFonts w:ascii="Arial" w:hAnsi="Arial" w:cs="Arial"/>
                <w:color w:val="31849B" w:themeColor="accent5" w:themeShade="BF"/>
              </w:rPr>
            </w:pPr>
          </w:p>
        </w:tc>
      </w:tr>
      <w:tr w:rsidR="006B4CB2" w14:paraId="44448530" w14:textId="77777777" w:rsidTr="00E82F7D">
        <w:tc>
          <w:tcPr>
            <w:tcW w:w="10456" w:type="dxa"/>
          </w:tcPr>
          <w:p w14:paraId="27C4CEF6" w14:textId="77777777" w:rsidR="006B4CB2" w:rsidRPr="00324547" w:rsidRDefault="006B4CB2" w:rsidP="00E82F7D">
            <w:pPr>
              <w:rPr>
                <w:rFonts w:ascii="Arial" w:hAnsi="Arial" w:cs="Arial"/>
                <w:b/>
                <w:color w:val="31849B" w:themeColor="accent5" w:themeShade="BF"/>
              </w:rPr>
            </w:pPr>
            <w:r w:rsidRPr="00324547">
              <w:rPr>
                <w:rFonts w:ascii="Arial" w:hAnsi="Arial" w:cs="Arial"/>
                <w:b/>
                <w:color w:val="31849B" w:themeColor="accent5" w:themeShade="BF"/>
              </w:rPr>
              <w:t xml:space="preserve">Strengths: </w:t>
            </w:r>
          </w:p>
        </w:tc>
      </w:tr>
      <w:tr w:rsidR="006B4CB2" w14:paraId="6501E57C" w14:textId="77777777" w:rsidTr="00E82F7D">
        <w:tc>
          <w:tcPr>
            <w:tcW w:w="10456" w:type="dxa"/>
          </w:tcPr>
          <w:p w14:paraId="13B669C4" w14:textId="77777777" w:rsidR="006B4CB2" w:rsidRPr="00101A8B" w:rsidRDefault="006B4CB2" w:rsidP="00E82F7D">
            <w:pPr>
              <w:rPr>
                <w:rFonts w:ascii="Arial" w:hAnsi="Arial" w:cs="Arial"/>
                <w:color w:val="31849B" w:themeColor="accent5" w:themeShade="BF"/>
              </w:rPr>
            </w:pPr>
          </w:p>
          <w:p w14:paraId="58044A2F" w14:textId="77777777" w:rsidR="006B4CB2" w:rsidRPr="00101A8B" w:rsidRDefault="006B4CB2" w:rsidP="00E82F7D">
            <w:pPr>
              <w:rPr>
                <w:rFonts w:ascii="Arial" w:hAnsi="Arial" w:cs="Arial"/>
                <w:color w:val="31849B" w:themeColor="accent5" w:themeShade="BF"/>
              </w:rPr>
            </w:pPr>
          </w:p>
          <w:p w14:paraId="379EDFF1" w14:textId="77777777" w:rsidR="006B4CB2" w:rsidRPr="00101A8B" w:rsidRDefault="006B4CB2" w:rsidP="00E82F7D">
            <w:pPr>
              <w:rPr>
                <w:rFonts w:ascii="Arial" w:hAnsi="Arial" w:cs="Arial"/>
                <w:color w:val="31849B" w:themeColor="accent5" w:themeShade="BF"/>
              </w:rPr>
            </w:pPr>
          </w:p>
        </w:tc>
      </w:tr>
      <w:tr w:rsidR="006B4CB2" w14:paraId="301C91E5" w14:textId="77777777" w:rsidTr="00E82F7D">
        <w:tc>
          <w:tcPr>
            <w:tcW w:w="10456" w:type="dxa"/>
          </w:tcPr>
          <w:p w14:paraId="14CDA416" w14:textId="77777777" w:rsidR="006B4CB2" w:rsidRPr="00324547" w:rsidRDefault="006B4CB2" w:rsidP="00E82F7D">
            <w:pPr>
              <w:rPr>
                <w:rFonts w:ascii="Arial" w:hAnsi="Arial" w:cs="Arial"/>
                <w:b/>
                <w:color w:val="31849B" w:themeColor="accent5" w:themeShade="BF"/>
              </w:rPr>
            </w:pPr>
            <w:r>
              <w:rPr>
                <w:rFonts w:ascii="Arial" w:hAnsi="Arial" w:cs="Arial"/>
                <w:b/>
                <w:color w:val="31849B" w:themeColor="accent5" w:themeShade="BF"/>
              </w:rPr>
              <w:t xml:space="preserve">Record of Pupil View: </w:t>
            </w:r>
          </w:p>
        </w:tc>
      </w:tr>
      <w:tr w:rsidR="006B4CB2" w:rsidRPr="00101A8B" w14:paraId="46CC50EB" w14:textId="77777777" w:rsidTr="00E82F7D">
        <w:tc>
          <w:tcPr>
            <w:tcW w:w="10456" w:type="dxa"/>
          </w:tcPr>
          <w:p w14:paraId="5315D6FB" w14:textId="77777777" w:rsidR="006B4CB2" w:rsidRPr="00101A8B" w:rsidRDefault="006B4CB2" w:rsidP="00E82F7D">
            <w:pPr>
              <w:rPr>
                <w:rFonts w:ascii="Arial" w:hAnsi="Arial" w:cs="Arial"/>
                <w:color w:val="31849B" w:themeColor="accent5" w:themeShade="BF"/>
              </w:rPr>
            </w:pPr>
          </w:p>
          <w:p w14:paraId="07E53E64" w14:textId="77777777" w:rsidR="006B4CB2" w:rsidRPr="00101A8B" w:rsidRDefault="006B4CB2" w:rsidP="00E82F7D">
            <w:pPr>
              <w:rPr>
                <w:rFonts w:ascii="Arial" w:hAnsi="Arial" w:cs="Arial"/>
                <w:color w:val="31849B" w:themeColor="accent5" w:themeShade="BF"/>
              </w:rPr>
            </w:pPr>
          </w:p>
          <w:p w14:paraId="009748B1" w14:textId="77777777" w:rsidR="006B4CB2" w:rsidRPr="00101A8B" w:rsidRDefault="006B4CB2" w:rsidP="00E82F7D">
            <w:pPr>
              <w:rPr>
                <w:rFonts w:ascii="Arial" w:hAnsi="Arial" w:cs="Arial"/>
                <w:color w:val="31849B" w:themeColor="accent5" w:themeShade="BF"/>
              </w:rPr>
            </w:pPr>
          </w:p>
        </w:tc>
      </w:tr>
      <w:tr w:rsidR="006B4CB2" w14:paraId="3B13372F" w14:textId="77777777" w:rsidTr="00E82F7D">
        <w:tc>
          <w:tcPr>
            <w:tcW w:w="10456" w:type="dxa"/>
          </w:tcPr>
          <w:p w14:paraId="27491E11" w14:textId="77777777" w:rsidR="006B4CB2" w:rsidRDefault="006B4CB2" w:rsidP="00E82F7D">
            <w:pPr>
              <w:rPr>
                <w:rFonts w:ascii="Arial" w:hAnsi="Arial" w:cs="Arial"/>
                <w:b/>
                <w:color w:val="31849B" w:themeColor="accent5" w:themeShade="BF"/>
              </w:rPr>
            </w:pPr>
            <w:r>
              <w:rPr>
                <w:rFonts w:ascii="Arial" w:hAnsi="Arial" w:cs="Arial"/>
                <w:b/>
                <w:color w:val="31849B" w:themeColor="accent5" w:themeShade="BF"/>
              </w:rPr>
              <w:t xml:space="preserve">Record of Parental View: </w:t>
            </w:r>
          </w:p>
        </w:tc>
      </w:tr>
      <w:tr w:rsidR="006B4CB2" w:rsidRPr="00101A8B" w14:paraId="2908261D" w14:textId="77777777" w:rsidTr="00E82F7D">
        <w:tc>
          <w:tcPr>
            <w:tcW w:w="10456" w:type="dxa"/>
          </w:tcPr>
          <w:p w14:paraId="6B38EB13" w14:textId="77777777" w:rsidR="006B4CB2" w:rsidRPr="00101A8B" w:rsidRDefault="006B4CB2" w:rsidP="00E82F7D">
            <w:pPr>
              <w:rPr>
                <w:rFonts w:ascii="Arial" w:hAnsi="Arial" w:cs="Arial"/>
                <w:color w:val="31849B" w:themeColor="accent5" w:themeShade="BF"/>
              </w:rPr>
            </w:pPr>
          </w:p>
          <w:p w14:paraId="019F326A" w14:textId="77777777" w:rsidR="006B4CB2" w:rsidRPr="00101A8B" w:rsidRDefault="006B4CB2" w:rsidP="00E82F7D">
            <w:pPr>
              <w:rPr>
                <w:rFonts w:ascii="Arial" w:hAnsi="Arial" w:cs="Arial"/>
                <w:color w:val="31849B" w:themeColor="accent5" w:themeShade="BF"/>
              </w:rPr>
            </w:pPr>
          </w:p>
          <w:p w14:paraId="535DBF62" w14:textId="77777777" w:rsidR="006B4CB2" w:rsidRPr="00101A8B" w:rsidRDefault="006B4CB2" w:rsidP="00E82F7D">
            <w:pPr>
              <w:rPr>
                <w:rFonts w:ascii="Arial" w:hAnsi="Arial" w:cs="Arial"/>
                <w:color w:val="31849B" w:themeColor="accent5" w:themeShade="BF"/>
              </w:rPr>
            </w:pPr>
          </w:p>
          <w:p w14:paraId="4E83F941" w14:textId="77777777" w:rsidR="006B4CB2" w:rsidRPr="00101A8B" w:rsidRDefault="006B4CB2" w:rsidP="00E82F7D">
            <w:pPr>
              <w:rPr>
                <w:rFonts w:ascii="Arial" w:hAnsi="Arial" w:cs="Arial"/>
                <w:color w:val="31849B" w:themeColor="accent5" w:themeShade="BF"/>
              </w:rPr>
            </w:pPr>
          </w:p>
          <w:p w14:paraId="37FE1213" w14:textId="77777777" w:rsidR="006B4CB2" w:rsidRPr="00101A8B" w:rsidRDefault="006B4CB2" w:rsidP="00E82F7D">
            <w:pPr>
              <w:rPr>
                <w:rFonts w:ascii="Arial" w:hAnsi="Arial" w:cs="Arial"/>
                <w:color w:val="31849B" w:themeColor="accent5" w:themeShade="BF"/>
              </w:rPr>
            </w:pPr>
          </w:p>
        </w:tc>
      </w:tr>
    </w:tbl>
    <w:p w14:paraId="38AAFDC1" w14:textId="77777777" w:rsidR="006B4CB2" w:rsidRDefault="006B4CB2" w:rsidP="006B4CB2">
      <w:pPr>
        <w:spacing w:after="0"/>
        <w:rPr>
          <w:rFonts w:ascii="Arial" w:hAnsi="Arial" w:cs="Arial"/>
          <w:b/>
          <w:color w:val="31849B" w:themeColor="accent5" w:themeShade="BF"/>
          <w:sz w:val="28"/>
          <w:szCs w:val="28"/>
        </w:rPr>
      </w:pPr>
    </w:p>
    <w:p w14:paraId="12D59914" w14:textId="77777777" w:rsidR="006B4CB2" w:rsidRDefault="007665D0" w:rsidP="006B4CB2">
      <w:pPr>
        <w:tabs>
          <w:tab w:val="left" w:pos="2670"/>
        </w:tabs>
        <w:rPr>
          <w:rFonts w:cstheme="minorHAnsi"/>
          <w:b/>
          <w:sz w:val="24"/>
          <w:szCs w:val="24"/>
        </w:rPr>
      </w:pPr>
      <w:r>
        <w:rPr>
          <w:rFonts w:cstheme="minorHAnsi"/>
          <w:sz w:val="24"/>
          <w:szCs w:val="24"/>
        </w:rPr>
        <w:lastRenderedPageBreak/>
        <w:t>Appendix 3</w:t>
      </w:r>
      <w:r w:rsidR="002E6F4E">
        <w:rPr>
          <w:rFonts w:cstheme="minorHAnsi"/>
          <w:sz w:val="24"/>
          <w:szCs w:val="24"/>
        </w:rPr>
        <w:t xml:space="preserve"> </w:t>
      </w:r>
      <w:r w:rsidR="002E6F4E" w:rsidRPr="002E6F4E">
        <w:rPr>
          <w:rFonts w:cstheme="minorHAnsi"/>
          <w:b/>
          <w:sz w:val="24"/>
          <w:szCs w:val="24"/>
        </w:rPr>
        <w:t xml:space="preserve">OFFICIAL SENSITIVE </w:t>
      </w:r>
      <w:r w:rsidR="002E6F4E">
        <w:rPr>
          <w:rFonts w:cstheme="minorHAnsi"/>
          <w:b/>
          <w:sz w:val="24"/>
          <w:szCs w:val="24"/>
        </w:rPr>
        <w:t>–</w:t>
      </w:r>
      <w:r w:rsidR="002E6F4E" w:rsidRPr="002E6F4E">
        <w:rPr>
          <w:rFonts w:cstheme="minorHAnsi"/>
          <w:b/>
          <w:sz w:val="24"/>
          <w:szCs w:val="24"/>
        </w:rPr>
        <w:t xml:space="preserve"> PERSONAL</w:t>
      </w:r>
    </w:p>
    <w:p w14:paraId="275E3E14" w14:textId="77777777" w:rsidR="002E6F4E" w:rsidRPr="002E6F4E" w:rsidRDefault="002E6F4E" w:rsidP="002E6F4E">
      <w:pPr>
        <w:spacing w:after="0" w:line="259" w:lineRule="auto"/>
        <w:rPr>
          <w:rFonts w:ascii="Arial" w:eastAsia="Calibri" w:hAnsi="Arial" w:cs="Arial"/>
          <w:b/>
          <w:color w:val="2E74B5"/>
          <w:sz w:val="40"/>
          <w:szCs w:val="40"/>
        </w:rPr>
      </w:pPr>
      <w:r w:rsidRPr="002E6F4E">
        <w:rPr>
          <w:rFonts w:ascii="Arial" w:eastAsia="Calibri" w:hAnsi="Arial" w:cs="Arial"/>
          <w:b/>
          <w:color w:val="2E74B5"/>
          <w:sz w:val="40"/>
          <w:szCs w:val="40"/>
        </w:rPr>
        <w:t xml:space="preserve">Individual Learning Plan – Review No: </w:t>
      </w:r>
    </w:p>
    <w:p w14:paraId="65804660" w14:textId="77777777" w:rsidR="002E6F4E" w:rsidRPr="002E6F4E" w:rsidRDefault="002E6F4E" w:rsidP="002E6F4E">
      <w:pPr>
        <w:spacing w:after="0" w:line="259" w:lineRule="auto"/>
        <w:rPr>
          <w:rFonts w:ascii="Arial" w:eastAsia="Calibri" w:hAnsi="Arial" w:cs="Arial"/>
          <w:color w:val="2E74B5"/>
        </w:rPr>
      </w:pPr>
    </w:p>
    <w:p w14:paraId="0518CB29" w14:textId="77777777" w:rsidR="002E6F4E" w:rsidRPr="002E6F4E" w:rsidRDefault="002E6F4E" w:rsidP="002E6F4E">
      <w:pPr>
        <w:spacing w:after="0" w:line="259" w:lineRule="auto"/>
        <w:rPr>
          <w:rFonts w:ascii="Arial" w:eastAsia="Calibri" w:hAnsi="Arial" w:cs="Arial"/>
          <w:b/>
          <w:color w:val="2E74B5"/>
          <w:u w:val="single"/>
        </w:rPr>
      </w:pPr>
      <w:r w:rsidRPr="002E6F4E">
        <w:rPr>
          <w:rFonts w:ascii="Arial" w:eastAsia="Calibri" w:hAnsi="Arial" w:cs="Arial"/>
          <w:b/>
          <w:color w:val="2E74B5"/>
          <w:u w:val="single"/>
        </w:rPr>
        <w:t>Pupil Details</w:t>
      </w:r>
    </w:p>
    <w:p w14:paraId="2336A828" w14:textId="77777777" w:rsidR="002E6F4E" w:rsidRPr="002E6F4E" w:rsidRDefault="002E6F4E" w:rsidP="002E6F4E">
      <w:pPr>
        <w:spacing w:after="0" w:line="259" w:lineRule="auto"/>
        <w:rPr>
          <w:rFonts w:ascii="Arial" w:eastAsia="Calibri" w:hAnsi="Arial" w:cs="Arial"/>
          <w:color w:val="2E74B5"/>
        </w:rPr>
      </w:pPr>
    </w:p>
    <w:tbl>
      <w:tblPr>
        <w:tblW w:w="1051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573"/>
        <w:gridCol w:w="1984"/>
        <w:gridCol w:w="2410"/>
      </w:tblGrid>
      <w:tr w:rsidR="002E6F4E" w:rsidRPr="002E6F4E" w14:paraId="40191F8E" w14:textId="77777777" w:rsidTr="002E6F4E">
        <w:tc>
          <w:tcPr>
            <w:tcW w:w="2552" w:type="dxa"/>
            <w:shd w:val="clear" w:color="auto" w:fill="auto"/>
          </w:tcPr>
          <w:p w14:paraId="02DDCC38" w14:textId="77777777" w:rsidR="002E6F4E" w:rsidRPr="002E6F4E" w:rsidRDefault="002E6F4E" w:rsidP="002E6F4E">
            <w:pPr>
              <w:spacing w:after="0" w:line="259" w:lineRule="auto"/>
              <w:rPr>
                <w:rFonts w:ascii="Arial" w:eastAsia="Calibri" w:hAnsi="Arial" w:cs="Arial"/>
                <w:b/>
                <w:color w:val="2E74B5"/>
              </w:rPr>
            </w:pPr>
            <w:r w:rsidRPr="002E6F4E">
              <w:rPr>
                <w:rFonts w:ascii="Arial" w:eastAsia="Calibri" w:hAnsi="Arial" w:cs="Arial"/>
                <w:b/>
                <w:color w:val="2E74B5"/>
              </w:rPr>
              <w:t>Name:</w:t>
            </w:r>
          </w:p>
        </w:tc>
        <w:tc>
          <w:tcPr>
            <w:tcW w:w="3573" w:type="dxa"/>
            <w:shd w:val="clear" w:color="auto" w:fill="auto"/>
          </w:tcPr>
          <w:p w14:paraId="11F030FA" w14:textId="77777777" w:rsidR="002E6F4E" w:rsidRPr="002E6F4E" w:rsidRDefault="002E6F4E" w:rsidP="002E6F4E">
            <w:pPr>
              <w:spacing w:after="0" w:line="259" w:lineRule="auto"/>
              <w:rPr>
                <w:rFonts w:ascii="Arial" w:eastAsia="Calibri" w:hAnsi="Arial" w:cs="Arial"/>
                <w:color w:val="2E74B5"/>
              </w:rPr>
            </w:pPr>
          </w:p>
          <w:p w14:paraId="469395E1" w14:textId="77777777" w:rsidR="002E6F4E" w:rsidRPr="002E6F4E" w:rsidRDefault="002E6F4E" w:rsidP="002E6F4E">
            <w:pPr>
              <w:spacing w:after="0" w:line="259" w:lineRule="auto"/>
              <w:rPr>
                <w:rFonts w:ascii="Arial" w:eastAsia="Calibri" w:hAnsi="Arial" w:cs="Arial"/>
                <w:color w:val="2E74B5"/>
              </w:rPr>
            </w:pPr>
          </w:p>
        </w:tc>
        <w:tc>
          <w:tcPr>
            <w:tcW w:w="1984" w:type="dxa"/>
            <w:shd w:val="clear" w:color="auto" w:fill="auto"/>
          </w:tcPr>
          <w:p w14:paraId="26E9A5EB" w14:textId="77777777" w:rsidR="002E6F4E" w:rsidRPr="002E6F4E" w:rsidRDefault="002E6F4E" w:rsidP="002E6F4E">
            <w:pPr>
              <w:spacing w:after="0" w:line="259" w:lineRule="auto"/>
              <w:rPr>
                <w:rFonts w:ascii="Arial" w:eastAsia="Calibri" w:hAnsi="Arial" w:cs="Arial"/>
                <w:b/>
                <w:color w:val="2E74B5"/>
              </w:rPr>
            </w:pPr>
            <w:r w:rsidRPr="002E6F4E">
              <w:rPr>
                <w:rFonts w:ascii="Arial" w:eastAsia="Calibri" w:hAnsi="Arial" w:cs="Arial"/>
                <w:b/>
                <w:color w:val="2E74B5"/>
              </w:rPr>
              <w:t>Date of Birth:</w:t>
            </w:r>
          </w:p>
        </w:tc>
        <w:tc>
          <w:tcPr>
            <w:tcW w:w="2410" w:type="dxa"/>
            <w:shd w:val="clear" w:color="auto" w:fill="auto"/>
          </w:tcPr>
          <w:p w14:paraId="6C8EDF4B" w14:textId="77777777" w:rsidR="002E6F4E" w:rsidRPr="002E6F4E" w:rsidRDefault="002E6F4E" w:rsidP="002E6F4E">
            <w:pPr>
              <w:spacing w:after="0" w:line="259" w:lineRule="auto"/>
              <w:ind w:right="457"/>
              <w:rPr>
                <w:rFonts w:ascii="Arial" w:eastAsia="Calibri" w:hAnsi="Arial" w:cs="Arial"/>
                <w:color w:val="2E74B5"/>
              </w:rPr>
            </w:pPr>
          </w:p>
        </w:tc>
      </w:tr>
      <w:tr w:rsidR="002E6F4E" w:rsidRPr="002E6F4E" w14:paraId="01D13FAC" w14:textId="77777777" w:rsidTr="002E6F4E">
        <w:tc>
          <w:tcPr>
            <w:tcW w:w="2552" w:type="dxa"/>
            <w:shd w:val="clear" w:color="auto" w:fill="auto"/>
          </w:tcPr>
          <w:p w14:paraId="1EDC663A" w14:textId="77777777" w:rsidR="002E6F4E" w:rsidRPr="002E6F4E" w:rsidRDefault="002E6F4E" w:rsidP="002E6F4E">
            <w:pPr>
              <w:spacing w:after="0" w:line="259" w:lineRule="auto"/>
              <w:rPr>
                <w:rFonts w:ascii="Arial" w:eastAsia="Calibri" w:hAnsi="Arial" w:cs="Arial"/>
                <w:b/>
                <w:color w:val="2E74B5"/>
              </w:rPr>
            </w:pPr>
            <w:r w:rsidRPr="002E6F4E">
              <w:rPr>
                <w:rFonts w:ascii="Arial" w:eastAsia="Calibri" w:hAnsi="Arial" w:cs="Arial"/>
                <w:b/>
                <w:color w:val="2E74B5"/>
              </w:rPr>
              <w:t xml:space="preserve">Preferred name </w:t>
            </w:r>
          </w:p>
          <w:p w14:paraId="084A782B" w14:textId="77777777" w:rsidR="002E6F4E" w:rsidRPr="002E6F4E" w:rsidRDefault="002E6F4E" w:rsidP="002E6F4E">
            <w:pPr>
              <w:spacing w:after="0" w:line="259" w:lineRule="auto"/>
              <w:rPr>
                <w:rFonts w:ascii="Arial" w:eastAsia="Calibri" w:hAnsi="Arial" w:cs="Arial"/>
                <w:b/>
                <w:color w:val="2E74B5"/>
              </w:rPr>
            </w:pPr>
            <w:r w:rsidRPr="002E6F4E">
              <w:rPr>
                <w:rFonts w:ascii="Arial" w:eastAsia="Calibri" w:hAnsi="Arial" w:cs="Arial"/>
                <w:b/>
                <w:color w:val="2E74B5"/>
              </w:rPr>
              <w:t>(known as):</w:t>
            </w:r>
          </w:p>
        </w:tc>
        <w:tc>
          <w:tcPr>
            <w:tcW w:w="3573" w:type="dxa"/>
            <w:shd w:val="clear" w:color="auto" w:fill="auto"/>
          </w:tcPr>
          <w:p w14:paraId="2BF0CCD5" w14:textId="77777777" w:rsidR="002E6F4E" w:rsidRPr="002E6F4E" w:rsidRDefault="002E6F4E" w:rsidP="002E6F4E">
            <w:pPr>
              <w:spacing w:after="0" w:line="259" w:lineRule="auto"/>
              <w:rPr>
                <w:rFonts w:ascii="Arial" w:eastAsia="Calibri" w:hAnsi="Arial" w:cs="Arial"/>
                <w:color w:val="2E74B5"/>
              </w:rPr>
            </w:pPr>
          </w:p>
        </w:tc>
        <w:tc>
          <w:tcPr>
            <w:tcW w:w="1984" w:type="dxa"/>
            <w:shd w:val="clear" w:color="auto" w:fill="auto"/>
          </w:tcPr>
          <w:p w14:paraId="4FEEDE98" w14:textId="77777777" w:rsidR="002E6F4E" w:rsidRPr="002E6F4E" w:rsidRDefault="002E6F4E" w:rsidP="002E6F4E">
            <w:pPr>
              <w:spacing w:after="0" w:line="259" w:lineRule="auto"/>
              <w:rPr>
                <w:rFonts w:ascii="Arial" w:eastAsia="Calibri" w:hAnsi="Arial" w:cs="Arial"/>
                <w:b/>
                <w:color w:val="2E74B5"/>
              </w:rPr>
            </w:pPr>
            <w:r w:rsidRPr="002E6F4E">
              <w:rPr>
                <w:rFonts w:ascii="Arial" w:eastAsia="Calibri" w:hAnsi="Arial" w:cs="Arial"/>
                <w:b/>
                <w:color w:val="2E74B5"/>
              </w:rPr>
              <w:t>Gender:</w:t>
            </w:r>
          </w:p>
        </w:tc>
        <w:tc>
          <w:tcPr>
            <w:tcW w:w="2410" w:type="dxa"/>
            <w:shd w:val="clear" w:color="auto" w:fill="auto"/>
          </w:tcPr>
          <w:p w14:paraId="19DE578B" w14:textId="77777777" w:rsidR="002E6F4E" w:rsidRPr="002E6F4E" w:rsidRDefault="002E6F4E" w:rsidP="002E6F4E">
            <w:pPr>
              <w:spacing w:after="0" w:line="259" w:lineRule="auto"/>
              <w:rPr>
                <w:rFonts w:ascii="Arial" w:eastAsia="Calibri" w:hAnsi="Arial" w:cs="Arial"/>
                <w:color w:val="2E74B5"/>
              </w:rPr>
            </w:pPr>
          </w:p>
        </w:tc>
      </w:tr>
      <w:tr w:rsidR="002E6F4E" w:rsidRPr="002E6F4E" w14:paraId="75966BF7" w14:textId="77777777" w:rsidTr="002E6F4E">
        <w:tc>
          <w:tcPr>
            <w:tcW w:w="2552" w:type="dxa"/>
            <w:shd w:val="clear" w:color="auto" w:fill="auto"/>
          </w:tcPr>
          <w:p w14:paraId="53846A99" w14:textId="77777777" w:rsidR="002E6F4E" w:rsidRPr="002E6F4E" w:rsidRDefault="002E6F4E" w:rsidP="002E6F4E">
            <w:pPr>
              <w:spacing w:after="0" w:line="259" w:lineRule="auto"/>
              <w:rPr>
                <w:rFonts w:ascii="Arial" w:eastAsia="Calibri" w:hAnsi="Arial" w:cs="Arial"/>
                <w:b/>
                <w:color w:val="2E74B5"/>
              </w:rPr>
            </w:pPr>
            <w:r w:rsidRPr="002E6F4E">
              <w:rPr>
                <w:rFonts w:ascii="Arial" w:eastAsia="Calibri" w:hAnsi="Arial" w:cs="Arial"/>
                <w:b/>
                <w:color w:val="2E74B5"/>
              </w:rPr>
              <w:t>School:</w:t>
            </w:r>
          </w:p>
          <w:p w14:paraId="19FA4382" w14:textId="77777777" w:rsidR="002E6F4E" w:rsidRPr="002E6F4E" w:rsidRDefault="002E6F4E" w:rsidP="002E6F4E">
            <w:pPr>
              <w:spacing w:after="0" w:line="259" w:lineRule="auto"/>
              <w:rPr>
                <w:rFonts w:ascii="Arial" w:eastAsia="Calibri" w:hAnsi="Arial" w:cs="Arial"/>
                <w:b/>
                <w:color w:val="2E74B5"/>
              </w:rPr>
            </w:pPr>
          </w:p>
        </w:tc>
        <w:tc>
          <w:tcPr>
            <w:tcW w:w="3573" w:type="dxa"/>
            <w:shd w:val="clear" w:color="auto" w:fill="auto"/>
          </w:tcPr>
          <w:p w14:paraId="30FC8721" w14:textId="77777777" w:rsidR="002E6F4E" w:rsidRPr="002E6F4E" w:rsidRDefault="002E6F4E" w:rsidP="002E6F4E">
            <w:pPr>
              <w:spacing w:after="0" w:line="259" w:lineRule="auto"/>
              <w:rPr>
                <w:rFonts w:ascii="Arial" w:eastAsia="Calibri" w:hAnsi="Arial" w:cs="Arial"/>
                <w:color w:val="2E74B5"/>
              </w:rPr>
            </w:pPr>
          </w:p>
        </w:tc>
        <w:tc>
          <w:tcPr>
            <w:tcW w:w="1984" w:type="dxa"/>
            <w:shd w:val="clear" w:color="auto" w:fill="auto"/>
          </w:tcPr>
          <w:p w14:paraId="62D8B99A" w14:textId="77777777" w:rsidR="002E6F4E" w:rsidRPr="002E6F4E" w:rsidRDefault="002E6F4E" w:rsidP="002E6F4E">
            <w:pPr>
              <w:spacing w:after="0" w:line="259" w:lineRule="auto"/>
              <w:rPr>
                <w:rFonts w:ascii="Arial" w:eastAsia="Calibri" w:hAnsi="Arial" w:cs="Arial"/>
                <w:b/>
                <w:color w:val="2E74B5"/>
              </w:rPr>
            </w:pPr>
            <w:r w:rsidRPr="002E6F4E">
              <w:rPr>
                <w:rFonts w:ascii="Arial" w:eastAsia="Calibri" w:hAnsi="Arial" w:cs="Arial"/>
                <w:b/>
                <w:color w:val="2E74B5"/>
              </w:rPr>
              <w:t>Year Group:</w:t>
            </w:r>
          </w:p>
        </w:tc>
        <w:tc>
          <w:tcPr>
            <w:tcW w:w="2410" w:type="dxa"/>
            <w:shd w:val="clear" w:color="auto" w:fill="auto"/>
          </w:tcPr>
          <w:p w14:paraId="2F554720" w14:textId="77777777" w:rsidR="002E6F4E" w:rsidRPr="002E6F4E" w:rsidRDefault="002E6F4E" w:rsidP="002E6F4E">
            <w:pPr>
              <w:spacing w:after="0" w:line="259" w:lineRule="auto"/>
              <w:rPr>
                <w:rFonts w:ascii="Arial" w:eastAsia="Calibri" w:hAnsi="Arial" w:cs="Arial"/>
                <w:color w:val="2E74B5"/>
              </w:rPr>
            </w:pPr>
          </w:p>
        </w:tc>
      </w:tr>
      <w:tr w:rsidR="002E6F4E" w:rsidRPr="002E6F4E" w14:paraId="6ABC6930" w14:textId="77777777" w:rsidTr="002E6F4E">
        <w:tc>
          <w:tcPr>
            <w:tcW w:w="2552" w:type="dxa"/>
            <w:shd w:val="clear" w:color="auto" w:fill="auto"/>
          </w:tcPr>
          <w:p w14:paraId="26B8DEAA" w14:textId="77777777" w:rsidR="002E6F4E" w:rsidRPr="002E6F4E" w:rsidRDefault="002E6F4E" w:rsidP="002E6F4E">
            <w:pPr>
              <w:spacing w:after="0" w:line="259" w:lineRule="auto"/>
              <w:rPr>
                <w:rFonts w:ascii="Arial" w:eastAsia="Calibri" w:hAnsi="Arial" w:cs="Arial"/>
                <w:b/>
                <w:color w:val="2E74B5"/>
              </w:rPr>
            </w:pPr>
            <w:r w:rsidRPr="002E6F4E">
              <w:rPr>
                <w:rFonts w:ascii="Arial" w:eastAsia="Calibri" w:hAnsi="Arial" w:cs="Arial"/>
                <w:b/>
                <w:color w:val="2E74B5"/>
              </w:rPr>
              <w:t xml:space="preserve">Individual Learning Plan Review Date: </w:t>
            </w:r>
          </w:p>
        </w:tc>
        <w:tc>
          <w:tcPr>
            <w:tcW w:w="3573" w:type="dxa"/>
            <w:shd w:val="clear" w:color="auto" w:fill="auto"/>
          </w:tcPr>
          <w:p w14:paraId="1D42E405" w14:textId="77777777" w:rsidR="002E6F4E" w:rsidRPr="002E6F4E" w:rsidRDefault="002E6F4E" w:rsidP="002E6F4E">
            <w:pPr>
              <w:spacing w:after="0" w:line="259" w:lineRule="auto"/>
              <w:rPr>
                <w:rFonts w:ascii="Arial" w:eastAsia="Calibri" w:hAnsi="Arial" w:cs="Arial"/>
                <w:color w:val="2E74B5"/>
              </w:rPr>
            </w:pPr>
          </w:p>
        </w:tc>
        <w:tc>
          <w:tcPr>
            <w:tcW w:w="1984" w:type="dxa"/>
            <w:shd w:val="clear" w:color="auto" w:fill="auto"/>
          </w:tcPr>
          <w:p w14:paraId="2A325980" w14:textId="77777777" w:rsidR="002E6F4E" w:rsidRPr="002E6F4E" w:rsidRDefault="002E6F4E" w:rsidP="002E6F4E">
            <w:pPr>
              <w:spacing w:after="0" w:line="259" w:lineRule="auto"/>
              <w:rPr>
                <w:rFonts w:ascii="Arial" w:eastAsia="Calibri" w:hAnsi="Arial" w:cs="Arial"/>
                <w:b/>
                <w:color w:val="2E74B5"/>
              </w:rPr>
            </w:pPr>
            <w:r w:rsidRPr="002E6F4E">
              <w:rPr>
                <w:rFonts w:ascii="Arial" w:eastAsia="Calibri" w:hAnsi="Arial" w:cs="Arial"/>
                <w:b/>
                <w:color w:val="2E74B5"/>
              </w:rPr>
              <w:t xml:space="preserve">Next Review Date: </w:t>
            </w:r>
          </w:p>
        </w:tc>
        <w:tc>
          <w:tcPr>
            <w:tcW w:w="2410" w:type="dxa"/>
            <w:shd w:val="clear" w:color="auto" w:fill="auto"/>
          </w:tcPr>
          <w:p w14:paraId="68A05A7D" w14:textId="77777777" w:rsidR="002E6F4E" w:rsidRPr="002E6F4E" w:rsidRDefault="002E6F4E" w:rsidP="002E6F4E">
            <w:pPr>
              <w:spacing w:after="0" w:line="259" w:lineRule="auto"/>
              <w:rPr>
                <w:rFonts w:ascii="Arial" w:eastAsia="Calibri" w:hAnsi="Arial" w:cs="Arial"/>
                <w:color w:val="2E74B5"/>
              </w:rPr>
            </w:pPr>
          </w:p>
        </w:tc>
      </w:tr>
    </w:tbl>
    <w:p w14:paraId="591C5956" w14:textId="77777777" w:rsidR="002E6F4E" w:rsidRPr="002E6F4E" w:rsidRDefault="002E6F4E" w:rsidP="002E6F4E">
      <w:pPr>
        <w:spacing w:after="0" w:line="259" w:lineRule="auto"/>
        <w:rPr>
          <w:rFonts w:ascii="Arial" w:eastAsia="Calibri" w:hAnsi="Arial" w:cs="Arial"/>
          <w:color w:val="2E74B5"/>
        </w:rPr>
      </w:pPr>
    </w:p>
    <w:p w14:paraId="2F9C1E98" w14:textId="77777777" w:rsidR="002E6F4E" w:rsidRPr="002E6F4E" w:rsidRDefault="002E6F4E" w:rsidP="002E6F4E">
      <w:pPr>
        <w:spacing w:after="0" w:line="259" w:lineRule="auto"/>
        <w:rPr>
          <w:rFonts w:ascii="Arial" w:eastAsia="Calibri" w:hAnsi="Arial" w:cs="Arial"/>
          <w:b/>
          <w:color w:val="2E74B5"/>
          <w:u w:val="single"/>
        </w:rPr>
      </w:pPr>
      <w:r w:rsidRPr="002E6F4E">
        <w:rPr>
          <w:rFonts w:ascii="Arial" w:eastAsia="Calibri" w:hAnsi="Arial" w:cs="Arial"/>
          <w:b/>
          <w:color w:val="2E74B5"/>
          <w:u w:val="single"/>
        </w:rPr>
        <w:t>Present at Review Meeting:</w:t>
      </w:r>
    </w:p>
    <w:p w14:paraId="134E8BB5" w14:textId="77777777" w:rsidR="002E6F4E" w:rsidRPr="002E6F4E" w:rsidRDefault="002E6F4E" w:rsidP="002E6F4E">
      <w:pPr>
        <w:spacing w:after="0" w:line="259" w:lineRule="auto"/>
        <w:rPr>
          <w:rFonts w:ascii="Arial" w:eastAsia="Calibri" w:hAnsi="Arial" w:cs="Arial"/>
          <w:color w:val="2E74B5"/>
        </w:rPr>
      </w:pPr>
    </w:p>
    <w:tbl>
      <w:tblPr>
        <w:tblStyle w:val="TableGrid1"/>
        <w:tblW w:w="0" w:type="auto"/>
        <w:tblLook w:val="04A0" w:firstRow="1" w:lastRow="0" w:firstColumn="1" w:lastColumn="0" w:noHBand="0" w:noVBand="1"/>
      </w:tblPr>
      <w:tblGrid>
        <w:gridCol w:w="4518"/>
        <w:gridCol w:w="4498"/>
      </w:tblGrid>
      <w:tr w:rsidR="002E6F4E" w:rsidRPr="002E6F4E" w14:paraId="62120376" w14:textId="77777777" w:rsidTr="00744822">
        <w:tc>
          <w:tcPr>
            <w:tcW w:w="5228" w:type="dxa"/>
          </w:tcPr>
          <w:p w14:paraId="4752541A" w14:textId="77777777" w:rsidR="002E6F4E" w:rsidRPr="002E6F4E" w:rsidRDefault="002E6F4E" w:rsidP="002E6F4E">
            <w:pPr>
              <w:rPr>
                <w:rFonts w:ascii="Arial" w:eastAsia="Calibri" w:hAnsi="Arial" w:cs="Arial"/>
                <w:b/>
                <w:color w:val="2E74B5"/>
              </w:rPr>
            </w:pPr>
            <w:r w:rsidRPr="002E6F4E">
              <w:rPr>
                <w:rFonts w:ascii="Arial" w:eastAsia="Calibri" w:hAnsi="Arial" w:cs="Arial"/>
                <w:b/>
                <w:color w:val="2E74B5"/>
              </w:rPr>
              <w:t xml:space="preserve">Name: </w:t>
            </w:r>
          </w:p>
        </w:tc>
        <w:tc>
          <w:tcPr>
            <w:tcW w:w="5228" w:type="dxa"/>
          </w:tcPr>
          <w:p w14:paraId="3C714FDF" w14:textId="77777777" w:rsidR="002E6F4E" w:rsidRPr="002E6F4E" w:rsidRDefault="002E6F4E" w:rsidP="002E6F4E">
            <w:pPr>
              <w:rPr>
                <w:rFonts w:ascii="Arial" w:eastAsia="Calibri" w:hAnsi="Arial" w:cs="Arial"/>
                <w:b/>
                <w:color w:val="2E74B5"/>
              </w:rPr>
            </w:pPr>
            <w:r w:rsidRPr="002E6F4E">
              <w:rPr>
                <w:rFonts w:ascii="Arial" w:eastAsia="Calibri" w:hAnsi="Arial" w:cs="Arial"/>
                <w:b/>
                <w:color w:val="2E74B5"/>
              </w:rPr>
              <w:t xml:space="preserve">Role: </w:t>
            </w:r>
          </w:p>
        </w:tc>
      </w:tr>
      <w:tr w:rsidR="002E6F4E" w:rsidRPr="002E6F4E" w14:paraId="475AC3DE" w14:textId="77777777" w:rsidTr="00744822">
        <w:tc>
          <w:tcPr>
            <w:tcW w:w="5228" w:type="dxa"/>
          </w:tcPr>
          <w:p w14:paraId="681BC3D2" w14:textId="77777777" w:rsidR="002E6F4E" w:rsidRPr="002E6F4E" w:rsidRDefault="002E6F4E" w:rsidP="002E6F4E">
            <w:pPr>
              <w:rPr>
                <w:rFonts w:ascii="Arial" w:eastAsia="Calibri" w:hAnsi="Arial" w:cs="Arial"/>
                <w:color w:val="2E74B5"/>
              </w:rPr>
            </w:pPr>
          </w:p>
          <w:p w14:paraId="0C343618" w14:textId="77777777" w:rsidR="002E6F4E" w:rsidRPr="002E6F4E" w:rsidRDefault="002E6F4E" w:rsidP="002E6F4E">
            <w:pPr>
              <w:rPr>
                <w:rFonts w:ascii="Arial" w:eastAsia="Calibri" w:hAnsi="Arial" w:cs="Arial"/>
                <w:color w:val="2E74B5"/>
              </w:rPr>
            </w:pPr>
          </w:p>
        </w:tc>
        <w:tc>
          <w:tcPr>
            <w:tcW w:w="5228" w:type="dxa"/>
          </w:tcPr>
          <w:p w14:paraId="4A0BF249" w14:textId="77777777" w:rsidR="002E6F4E" w:rsidRPr="002E6F4E" w:rsidRDefault="002E6F4E" w:rsidP="002E6F4E">
            <w:pPr>
              <w:rPr>
                <w:rFonts w:ascii="Arial" w:eastAsia="Calibri" w:hAnsi="Arial" w:cs="Arial"/>
                <w:color w:val="2E74B5"/>
              </w:rPr>
            </w:pPr>
          </w:p>
        </w:tc>
      </w:tr>
      <w:tr w:rsidR="002E6F4E" w:rsidRPr="002E6F4E" w14:paraId="1580C4D4" w14:textId="77777777" w:rsidTr="00744822">
        <w:tc>
          <w:tcPr>
            <w:tcW w:w="5228" w:type="dxa"/>
          </w:tcPr>
          <w:p w14:paraId="00190454" w14:textId="77777777" w:rsidR="002E6F4E" w:rsidRPr="002E6F4E" w:rsidRDefault="002E6F4E" w:rsidP="002E6F4E">
            <w:pPr>
              <w:rPr>
                <w:rFonts w:ascii="Arial" w:eastAsia="Calibri" w:hAnsi="Arial" w:cs="Arial"/>
                <w:color w:val="2E74B5"/>
              </w:rPr>
            </w:pPr>
          </w:p>
          <w:p w14:paraId="5AC7B479" w14:textId="77777777" w:rsidR="002E6F4E" w:rsidRPr="002E6F4E" w:rsidRDefault="002E6F4E" w:rsidP="002E6F4E">
            <w:pPr>
              <w:rPr>
                <w:rFonts w:ascii="Arial" w:eastAsia="Calibri" w:hAnsi="Arial" w:cs="Arial"/>
                <w:color w:val="2E74B5"/>
              </w:rPr>
            </w:pPr>
          </w:p>
        </w:tc>
        <w:tc>
          <w:tcPr>
            <w:tcW w:w="5228" w:type="dxa"/>
          </w:tcPr>
          <w:p w14:paraId="3A637B5F" w14:textId="77777777" w:rsidR="002E6F4E" w:rsidRPr="002E6F4E" w:rsidRDefault="002E6F4E" w:rsidP="002E6F4E">
            <w:pPr>
              <w:rPr>
                <w:rFonts w:ascii="Arial" w:eastAsia="Calibri" w:hAnsi="Arial" w:cs="Arial"/>
                <w:color w:val="2E74B5"/>
              </w:rPr>
            </w:pPr>
          </w:p>
        </w:tc>
      </w:tr>
      <w:tr w:rsidR="002E6F4E" w:rsidRPr="002E6F4E" w14:paraId="17B6BF98" w14:textId="77777777" w:rsidTr="00744822">
        <w:tc>
          <w:tcPr>
            <w:tcW w:w="5228" w:type="dxa"/>
          </w:tcPr>
          <w:p w14:paraId="080BC047" w14:textId="77777777" w:rsidR="002E6F4E" w:rsidRPr="002E6F4E" w:rsidRDefault="002E6F4E" w:rsidP="002E6F4E">
            <w:pPr>
              <w:rPr>
                <w:rFonts w:ascii="Arial" w:eastAsia="Calibri" w:hAnsi="Arial" w:cs="Arial"/>
                <w:color w:val="2E74B5"/>
              </w:rPr>
            </w:pPr>
          </w:p>
          <w:p w14:paraId="45DC0D4E" w14:textId="77777777" w:rsidR="002E6F4E" w:rsidRPr="002E6F4E" w:rsidRDefault="002E6F4E" w:rsidP="002E6F4E">
            <w:pPr>
              <w:rPr>
                <w:rFonts w:ascii="Arial" w:eastAsia="Calibri" w:hAnsi="Arial" w:cs="Arial"/>
                <w:color w:val="2E74B5"/>
              </w:rPr>
            </w:pPr>
          </w:p>
        </w:tc>
        <w:tc>
          <w:tcPr>
            <w:tcW w:w="5228" w:type="dxa"/>
          </w:tcPr>
          <w:p w14:paraId="25F734F1" w14:textId="77777777" w:rsidR="002E6F4E" w:rsidRPr="002E6F4E" w:rsidRDefault="002E6F4E" w:rsidP="002E6F4E">
            <w:pPr>
              <w:rPr>
                <w:rFonts w:ascii="Arial" w:eastAsia="Calibri" w:hAnsi="Arial" w:cs="Arial"/>
                <w:color w:val="2E74B5"/>
              </w:rPr>
            </w:pPr>
          </w:p>
        </w:tc>
      </w:tr>
      <w:tr w:rsidR="002E6F4E" w:rsidRPr="002E6F4E" w14:paraId="724A8970" w14:textId="77777777" w:rsidTr="00744822">
        <w:tc>
          <w:tcPr>
            <w:tcW w:w="5228" w:type="dxa"/>
          </w:tcPr>
          <w:p w14:paraId="58E0ECFB" w14:textId="77777777" w:rsidR="002E6F4E" w:rsidRPr="002E6F4E" w:rsidRDefault="002E6F4E" w:rsidP="002E6F4E">
            <w:pPr>
              <w:rPr>
                <w:rFonts w:ascii="Arial" w:eastAsia="Calibri" w:hAnsi="Arial" w:cs="Arial"/>
                <w:color w:val="2E74B5"/>
              </w:rPr>
            </w:pPr>
          </w:p>
          <w:p w14:paraId="47F02CF4" w14:textId="77777777" w:rsidR="002E6F4E" w:rsidRPr="002E6F4E" w:rsidRDefault="002E6F4E" w:rsidP="002E6F4E">
            <w:pPr>
              <w:rPr>
                <w:rFonts w:ascii="Arial" w:eastAsia="Calibri" w:hAnsi="Arial" w:cs="Arial"/>
                <w:color w:val="2E74B5"/>
              </w:rPr>
            </w:pPr>
          </w:p>
        </w:tc>
        <w:tc>
          <w:tcPr>
            <w:tcW w:w="5228" w:type="dxa"/>
          </w:tcPr>
          <w:p w14:paraId="63F96953" w14:textId="77777777" w:rsidR="002E6F4E" w:rsidRPr="002E6F4E" w:rsidRDefault="002E6F4E" w:rsidP="002E6F4E">
            <w:pPr>
              <w:rPr>
                <w:rFonts w:ascii="Arial" w:eastAsia="Calibri" w:hAnsi="Arial" w:cs="Arial"/>
                <w:color w:val="2E74B5"/>
              </w:rPr>
            </w:pPr>
          </w:p>
        </w:tc>
      </w:tr>
      <w:tr w:rsidR="002E6F4E" w:rsidRPr="002E6F4E" w14:paraId="22908137" w14:textId="77777777" w:rsidTr="00744822">
        <w:tc>
          <w:tcPr>
            <w:tcW w:w="5228" w:type="dxa"/>
          </w:tcPr>
          <w:p w14:paraId="30878A4B" w14:textId="77777777" w:rsidR="002E6F4E" w:rsidRPr="002E6F4E" w:rsidRDefault="002E6F4E" w:rsidP="002E6F4E">
            <w:pPr>
              <w:rPr>
                <w:rFonts w:ascii="Arial" w:eastAsia="Calibri" w:hAnsi="Arial" w:cs="Arial"/>
                <w:color w:val="2E74B5"/>
              </w:rPr>
            </w:pPr>
          </w:p>
          <w:p w14:paraId="5AD13BC8" w14:textId="77777777" w:rsidR="002E6F4E" w:rsidRPr="002E6F4E" w:rsidRDefault="002E6F4E" w:rsidP="002E6F4E">
            <w:pPr>
              <w:rPr>
                <w:rFonts w:ascii="Arial" w:eastAsia="Calibri" w:hAnsi="Arial" w:cs="Arial"/>
                <w:color w:val="2E74B5"/>
              </w:rPr>
            </w:pPr>
          </w:p>
        </w:tc>
        <w:tc>
          <w:tcPr>
            <w:tcW w:w="5228" w:type="dxa"/>
          </w:tcPr>
          <w:p w14:paraId="27EF4E03" w14:textId="77777777" w:rsidR="002E6F4E" w:rsidRPr="002E6F4E" w:rsidRDefault="002E6F4E" w:rsidP="002E6F4E">
            <w:pPr>
              <w:rPr>
                <w:rFonts w:ascii="Arial" w:eastAsia="Calibri" w:hAnsi="Arial" w:cs="Arial"/>
                <w:color w:val="2E74B5"/>
              </w:rPr>
            </w:pPr>
          </w:p>
        </w:tc>
      </w:tr>
      <w:tr w:rsidR="002E6F4E" w:rsidRPr="002E6F4E" w14:paraId="07FC80F5" w14:textId="77777777" w:rsidTr="00744822">
        <w:tc>
          <w:tcPr>
            <w:tcW w:w="5228" w:type="dxa"/>
          </w:tcPr>
          <w:p w14:paraId="1CB9D055" w14:textId="77777777" w:rsidR="002E6F4E" w:rsidRPr="002E6F4E" w:rsidRDefault="002E6F4E" w:rsidP="002E6F4E">
            <w:pPr>
              <w:rPr>
                <w:rFonts w:ascii="Arial" w:eastAsia="Calibri" w:hAnsi="Arial" w:cs="Arial"/>
                <w:color w:val="2E74B5"/>
              </w:rPr>
            </w:pPr>
          </w:p>
          <w:p w14:paraId="1F7A0CF2" w14:textId="77777777" w:rsidR="002E6F4E" w:rsidRPr="002E6F4E" w:rsidRDefault="002E6F4E" w:rsidP="002E6F4E">
            <w:pPr>
              <w:rPr>
                <w:rFonts w:ascii="Arial" w:eastAsia="Calibri" w:hAnsi="Arial" w:cs="Arial"/>
                <w:color w:val="2E74B5"/>
              </w:rPr>
            </w:pPr>
          </w:p>
        </w:tc>
        <w:tc>
          <w:tcPr>
            <w:tcW w:w="5228" w:type="dxa"/>
          </w:tcPr>
          <w:p w14:paraId="284F5F01" w14:textId="77777777" w:rsidR="002E6F4E" w:rsidRPr="002E6F4E" w:rsidRDefault="002E6F4E" w:rsidP="002E6F4E">
            <w:pPr>
              <w:rPr>
                <w:rFonts w:ascii="Arial" w:eastAsia="Calibri" w:hAnsi="Arial" w:cs="Arial"/>
                <w:color w:val="2E74B5"/>
              </w:rPr>
            </w:pPr>
          </w:p>
        </w:tc>
      </w:tr>
    </w:tbl>
    <w:p w14:paraId="7CEBF770" w14:textId="77777777" w:rsidR="002E6F4E" w:rsidRPr="002E6F4E" w:rsidRDefault="002E6F4E" w:rsidP="002E6F4E">
      <w:pPr>
        <w:spacing w:after="0" w:line="259" w:lineRule="auto"/>
        <w:rPr>
          <w:rFonts w:ascii="Arial" w:eastAsia="Calibri" w:hAnsi="Arial" w:cs="Arial"/>
          <w:color w:val="2E74B5"/>
        </w:rPr>
      </w:pPr>
    </w:p>
    <w:p w14:paraId="03808BFC" w14:textId="77777777" w:rsidR="002E6F4E" w:rsidRPr="002E6F4E" w:rsidRDefault="002E6F4E" w:rsidP="002E6F4E">
      <w:pPr>
        <w:spacing w:after="160" w:line="259" w:lineRule="auto"/>
        <w:rPr>
          <w:rFonts w:ascii="Arial" w:eastAsia="Calibri" w:hAnsi="Arial" w:cs="Arial"/>
          <w:b/>
          <w:color w:val="2E74B5"/>
          <w:u w:val="single"/>
        </w:rPr>
      </w:pPr>
      <w:r w:rsidRPr="002E6F4E">
        <w:rPr>
          <w:rFonts w:ascii="Arial" w:eastAsia="Calibri" w:hAnsi="Arial" w:cs="Arial"/>
          <w:b/>
          <w:color w:val="2E74B5"/>
          <w:u w:val="single"/>
        </w:rPr>
        <w:t>General Attitudes to Learning</w:t>
      </w:r>
    </w:p>
    <w:tbl>
      <w:tblPr>
        <w:tblStyle w:val="TableGrid1"/>
        <w:tblW w:w="0" w:type="auto"/>
        <w:tblLook w:val="04A0" w:firstRow="1" w:lastRow="0" w:firstColumn="1" w:lastColumn="0" w:noHBand="0" w:noVBand="1"/>
      </w:tblPr>
      <w:tblGrid>
        <w:gridCol w:w="9016"/>
      </w:tblGrid>
      <w:tr w:rsidR="002E6F4E" w:rsidRPr="002E6F4E" w14:paraId="57EEFAF3" w14:textId="77777777" w:rsidTr="00744822">
        <w:tc>
          <w:tcPr>
            <w:tcW w:w="10456" w:type="dxa"/>
          </w:tcPr>
          <w:p w14:paraId="7587059B" w14:textId="77777777" w:rsidR="002E6F4E" w:rsidRPr="002E6F4E" w:rsidRDefault="002E6F4E" w:rsidP="002E6F4E">
            <w:pPr>
              <w:rPr>
                <w:rFonts w:ascii="Arial" w:eastAsia="Calibri" w:hAnsi="Arial" w:cs="Arial"/>
                <w:b/>
                <w:color w:val="2E74B5"/>
              </w:rPr>
            </w:pPr>
            <w:r w:rsidRPr="002E6F4E">
              <w:rPr>
                <w:rFonts w:ascii="Arial" w:eastAsia="Calibri" w:hAnsi="Arial" w:cs="Arial"/>
                <w:b/>
                <w:color w:val="2E74B5"/>
              </w:rPr>
              <w:t xml:space="preserve">Learning Behaviours: </w:t>
            </w:r>
          </w:p>
        </w:tc>
      </w:tr>
      <w:tr w:rsidR="002E6F4E" w:rsidRPr="002E6F4E" w14:paraId="7C840858" w14:textId="77777777" w:rsidTr="00744822">
        <w:tc>
          <w:tcPr>
            <w:tcW w:w="10456" w:type="dxa"/>
          </w:tcPr>
          <w:p w14:paraId="061E2EFF" w14:textId="77777777" w:rsidR="002E6F4E" w:rsidRPr="002E6F4E" w:rsidRDefault="002E6F4E" w:rsidP="002E6F4E">
            <w:pPr>
              <w:rPr>
                <w:rFonts w:ascii="Arial" w:eastAsia="Calibri" w:hAnsi="Arial" w:cs="Arial"/>
                <w:color w:val="2E74B5"/>
              </w:rPr>
            </w:pPr>
          </w:p>
          <w:p w14:paraId="4EFDA3A2" w14:textId="77777777" w:rsidR="002E6F4E" w:rsidRPr="002E6F4E" w:rsidRDefault="002E6F4E" w:rsidP="002E6F4E">
            <w:pPr>
              <w:rPr>
                <w:rFonts w:ascii="Arial" w:eastAsia="Calibri" w:hAnsi="Arial" w:cs="Arial"/>
                <w:color w:val="2E74B5"/>
              </w:rPr>
            </w:pPr>
          </w:p>
          <w:p w14:paraId="737B6420" w14:textId="77777777" w:rsidR="002E6F4E" w:rsidRPr="002E6F4E" w:rsidRDefault="002E6F4E" w:rsidP="002E6F4E">
            <w:pPr>
              <w:rPr>
                <w:rFonts w:ascii="Arial" w:eastAsia="Calibri" w:hAnsi="Arial" w:cs="Arial"/>
                <w:color w:val="2E74B5"/>
              </w:rPr>
            </w:pPr>
          </w:p>
          <w:p w14:paraId="5FBD1D81" w14:textId="77777777" w:rsidR="002E6F4E" w:rsidRPr="002E6F4E" w:rsidRDefault="002E6F4E" w:rsidP="002E6F4E">
            <w:pPr>
              <w:rPr>
                <w:rFonts w:ascii="Arial" w:eastAsia="Calibri" w:hAnsi="Arial" w:cs="Arial"/>
                <w:color w:val="2E74B5"/>
              </w:rPr>
            </w:pPr>
          </w:p>
          <w:p w14:paraId="7521BDB2" w14:textId="77777777" w:rsidR="002E6F4E" w:rsidRPr="002E6F4E" w:rsidRDefault="002E6F4E" w:rsidP="002E6F4E">
            <w:pPr>
              <w:rPr>
                <w:rFonts w:ascii="Arial" w:eastAsia="Calibri" w:hAnsi="Arial" w:cs="Arial"/>
                <w:color w:val="2E74B5"/>
              </w:rPr>
            </w:pPr>
          </w:p>
          <w:p w14:paraId="2A773BB8" w14:textId="77777777" w:rsidR="002E6F4E" w:rsidRPr="002E6F4E" w:rsidRDefault="002E6F4E" w:rsidP="002E6F4E">
            <w:pPr>
              <w:rPr>
                <w:rFonts w:ascii="Arial" w:eastAsia="Calibri" w:hAnsi="Arial" w:cs="Arial"/>
                <w:color w:val="2E74B5"/>
              </w:rPr>
            </w:pPr>
          </w:p>
          <w:p w14:paraId="3B3AC49B" w14:textId="77777777" w:rsidR="002E6F4E" w:rsidRPr="002E6F4E" w:rsidRDefault="002E6F4E" w:rsidP="002E6F4E">
            <w:pPr>
              <w:rPr>
                <w:rFonts w:ascii="Arial" w:eastAsia="Calibri" w:hAnsi="Arial" w:cs="Arial"/>
                <w:color w:val="2E74B5"/>
              </w:rPr>
            </w:pPr>
          </w:p>
          <w:p w14:paraId="58954214" w14:textId="77777777" w:rsidR="002E6F4E" w:rsidRPr="002E6F4E" w:rsidRDefault="002E6F4E" w:rsidP="002E6F4E">
            <w:pPr>
              <w:rPr>
                <w:rFonts w:ascii="Arial" w:eastAsia="Calibri" w:hAnsi="Arial" w:cs="Arial"/>
                <w:color w:val="2E74B5"/>
              </w:rPr>
            </w:pPr>
          </w:p>
          <w:p w14:paraId="7114D5F3" w14:textId="77777777" w:rsidR="002E6F4E" w:rsidRPr="002E6F4E" w:rsidRDefault="002E6F4E" w:rsidP="002E6F4E">
            <w:pPr>
              <w:rPr>
                <w:rFonts w:ascii="Arial" w:eastAsia="Calibri" w:hAnsi="Arial" w:cs="Arial"/>
                <w:color w:val="2E74B5"/>
              </w:rPr>
            </w:pPr>
          </w:p>
          <w:p w14:paraId="4760BF91" w14:textId="77777777" w:rsidR="002E6F4E" w:rsidRPr="002E6F4E" w:rsidRDefault="002E6F4E" w:rsidP="002E6F4E">
            <w:pPr>
              <w:rPr>
                <w:rFonts w:ascii="Arial" w:eastAsia="Calibri" w:hAnsi="Arial" w:cs="Arial"/>
                <w:color w:val="2E74B5"/>
              </w:rPr>
            </w:pPr>
          </w:p>
          <w:p w14:paraId="65A1F3EB" w14:textId="77777777" w:rsidR="002E6F4E" w:rsidRPr="002E6F4E" w:rsidRDefault="002E6F4E" w:rsidP="002E6F4E">
            <w:pPr>
              <w:rPr>
                <w:rFonts w:ascii="Arial" w:eastAsia="Calibri" w:hAnsi="Arial" w:cs="Arial"/>
                <w:color w:val="2E74B5"/>
              </w:rPr>
            </w:pPr>
          </w:p>
          <w:p w14:paraId="11175AD6" w14:textId="77777777" w:rsidR="002E6F4E" w:rsidRPr="002E6F4E" w:rsidRDefault="002E6F4E" w:rsidP="002E6F4E">
            <w:pPr>
              <w:rPr>
                <w:rFonts w:ascii="Arial" w:eastAsia="Calibri" w:hAnsi="Arial" w:cs="Arial"/>
                <w:color w:val="2E74B5"/>
              </w:rPr>
            </w:pPr>
          </w:p>
          <w:p w14:paraId="48047CC3" w14:textId="77777777" w:rsidR="002E6F4E" w:rsidRPr="002E6F4E" w:rsidRDefault="002E6F4E" w:rsidP="002E6F4E">
            <w:pPr>
              <w:rPr>
                <w:rFonts w:ascii="Arial" w:eastAsia="Calibri" w:hAnsi="Arial" w:cs="Arial"/>
                <w:color w:val="2E74B5"/>
              </w:rPr>
            </w:pPr>
          </w:p>
          <w:p w14:paraId="6F332771" w14:textId="77777777" w:rsidR="002E6F4E" w:rsidRPr="002E6F4E" w:rsidRDefault="002E6F4E" w:rsidP="002E6F4E">
            <w:pPr>
              <w:rPr>
                <w:rFonts w:ascii="Arial" w:eastAsia="Calibri" w:hAnsi="Arial" w:cs="Arial"/>
                <w:color w:val="2E74B5"/>
              </w:rPr>
            </w:pPr>
          </w:p>
          <w:p w14:paraId="187D1BC1" w14:textId="77777777" w:rsidR="002E6F4E" w:rsidRPr="002E6F4E" w:rsidRDefault="002E6F4E" w:rsidP="002E6F4E">
            <w:pPr>
              <w:rPr>
                <w:rFonts w:ascii="Arial" w:eastAsia="Calibri" w:hAnsi="Arial" w:cs="Arial"/>
                <w:color w:val="2E74B5"/>
              </w:rPr>
            </w:pPr>
          </w:p>
          <w:p w14:paraId="129E7EC7" w14:textId="77777777" w:rsidR="002E6F4E" w:rsidRPr="002E6F4E" w:rsidRDefault="002E6F4E" w:rsidP="002E6F4E">
            <w:pPr>
              <w:rPr>
                <w:rFonts w:ascii="Arial" w:eastAsia="Calibri" w:hAnsi="Arial" w:cs="Arial"/>
                <w:color w:val="2E74B5"/>
              </w:rPr>
            </w:pPr>
          </w:p>
          <w:p w14:paraId="65724C97" w14:textId="77777777" w:rsidR="002E6F4E" w:rsidRPr="002E6F4E" w:rsidRDefault="002E6F4E" w:rsidP="002E6F4E">
            <w:pPr>
              <w:rPr>
                <w:rFonts w:ascii="Arial" w:eastAsia="Calibri" w:hAnsi="Arial" w:cs="Arial"/>
                <w:color w:val="2E74B5"/>
              </w:rPr>
            </w:pPr>
          </w:p>
          <w:p w14:paraId="6CF134D0" w14:textId="77777777" w:rsidR="002E6F4E" w:rsidRPr="002E6F4E" w:rsidRDefault="002E6F4E" w:rsidP="002E6F4E">
            <w:pPr>
              <w:rPr>
                <w:rFonts w:ascii="Arial" w:eastAsia="Calibri" w:hAnsi="Arial" w:cs="Arial"/>
                <w:color w:val="2E74B5"/>
              </w:rPr>
            </w:pPr>
          </w:p>
        </w:tc>
      </w:tr>
    </w:tbl>
    <w:p w14:paraId="704110AD" w14:textId="77777777" w:rsidR="002E6F4E" w:rsidRPr="002E6F4E" w:rsidRDefault="002E6F4E" w:rsidP="002E6F4E">
      <w:pPr>
        <w:spacing w:after="0" w:line="259" w:lineRule="auto"/>
        <w:rPr>
          <w:rFonts w:ascii="Arial" w:eastAsia="Calibri" w:hAnsi="Arial" w:cs="Arial"/>
          <w:color w:val="2E74B5"/>
        </w:rPr>
      </w:pPr>
    </w:p>
    <w:p w14:paraId="0B29AEAB" w14:textId="77777777" w:rsidR="002E6F4E" w:rsidRPr="002E6F4E" w:rsidRDefault="002E6F4E" w:rsidP="002E6F4E">
      <w:pPr>
        <w:spacing w:after="160" w:line="259" w:lineRule="auto"/>
        <w:rPr>
          <w:rFonts w:ascii="Arial" w:eastAsia="Calibri" w:hAnsi="Arial" w:cs="Arial"/>
          <w:color w:val="2E74B5"/>
        </w:rPr>
      </w:pPr>
    </w:p>
    <w:p w14:paraId="591E864C" w14:textId="77777777" w:rsidR="002E6F4E" w:rsidRPr="006B4CB2" w:rsidRDefault="002E6F4E" w:rsidP="006B4CB2">
      <w:pPr>
        <w:tabs>
          <w:tab w:val="left" w:pos="2670"/>
        </w:tabs>
        <w:rPr>
          <w:rFonts w:cstheme="minorHAnsi"/>
          <w:sz w:val="24"/>
          <w:szCs w:val="24"/>
        </w:rPr>
      </w:pPr>
    </w:p>
    <w:sectPr w:rsidR="002E6F4E" w:rsidRPr="006B4CB2" w:rsidSect="006B4CB2">
      <w:headerReference w:type="default" r:id="rId12"/>
      <w:footerReference w:type="default" r:id="rId13"/>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1B1A" w14:textId="77777777" w:rsidR="00D02D41" w:rsidRDefault="00D02D41" w:rsidP="00D02D41">
      <w:pPr>
        <w:spacing w:after="0" w:line="240" w:lineRule="auto"/>
      </w:pPr>
      <w:r>
        <w:separator/>
      </w:r>
    </w:p>
  </w:endnote>
  <w:endnote w:type="continuationSeparator" w:id="0">
    <w:p w14:paraId="36E89BC6" w14:textId="77777777" w:rsidR="00D02D41" w:rsidRDefault="00D02D41" w:rsidP="00D0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593709"/>
      <w:docPartObj>
        <w:docPartGallery w:val="Page Numbers (Bottom of Page)"/>
        <w:docPartUnique/>
      </w:docPartObj>
    </w:sdtPr>
    <w:sdtEndPr>
      <w:rPr>
        <w:b/>
        <w:i/>
        <w:noProof/>
      </w:rPr>
    </w:sdtEndPr>
    <w:sdtContent>
      <w:p w14:paraId="04250683" w14:textId="77777777" w:rsidR="00A05681" w:rsidRDefault="00D02D41">
        <w:pPr>
          <w:pStyle w:val="Footer"/>
          <w:jc w:val="center"/>
        </w:pPr>
        <w:r>
          <w:t xml:space="preserve">BFS Naples </w:t>
        </w:r>
        <w:r w:rsidR="002D1864">
          <w:t>SEND Policy</w:t>
        </w:r>
      </w:p>
      <w:p w14:paraId="1B7790C8" w14:textId="48DE79C8" w:rsidR="00D02D41" w:rsidRPr="00A05681" w:rsidRDefault="00721DE2" w:rsidP="00A05681">
        <w:pPr>
          <w:pStyle w:val="Footer"/>
          <w:jc w:val="center"/>
          <w:rPr>
            <w:b/>
            <w:i/>
          </w:rPr>
        </w:pPr>
        <w:r>
          <w:rPr>
            <w:b/>
            <w:i/>
          </w:rPr>
          <w:t>October</w:t>
        </w:r>
        <w:r w:rsidR="00A51C28">
          <w:rPr>
            <w:b/>
            <w:i/>
          </w:rPr>
          <w:t xml:space="preserve"> 202</w:t>
        </w:r>
        <w:r w:rsidR="00AC4271">
          <w:rPr>
            <w:b/>
            <w:i/>
          </w:rPr>
          <w:t>2</w:t>
        </w:r>
      </w:p>
    </w:sdtContent>
  </w:sdt>
  <w:p w14:paraId="54F9FD2E" w14:textId="77777777" w:rsidR="00D02D41" w:rsidRDefault="00D02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2B437" w14:textId="77777777" w:rsidR="00D02D41" w:rsidRDefault="00D02D41" w:rsidP="00D02D41">
      <w:pPr>
        <w:spacing w:after="0" w:line="240" w:lineRule="auto"/>
      </w:pPr>
      <w:r>
        <w:separator/>
      </w:r>
    </w:p>
  </w:footnote>
  <w:footnote w:type="continuationSeparator" w:id="0">
    <w:p w14:paraId="6C786809" w14:textId="77777777" w:rsidR="00D02D41" w:rsidRDefault="00D02D41" w:rsidP="00D0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15212"/>
      <w:docPartObj>
        <w:docPartGallery w:val="Page Numbers (Top of Page)"/>
        <w:docPartUnique/>
      </w:docPartObj>
    </w:sdtPr>
    <w:sdtEndPr>
      <w:rPr>
        <w:b/>
        <w:noProof/>
      </w:rPr>
    </w:sdtEndPr>
    <w:sdtContent>
      <w:p w14:paraId="5365366C" w14:textId="77777777" w:rsidR="00162B25" w:rsidRPr="00162B25" w:rsidRDefault="00162B25">
        <w:pPr>
          <w:pStyle w:val="Header"/>
          <w:jc w:val="center"/>
          <w:rPr>
            <w:b/>
          </w:rPr>
        </w:pPr>
        <w:r w:rsidRPr="00162B25">
          <w:rPr>
            <w:b/>
          </w:rPr>
          <w:fldChar w:fldCharType="begin"/>
        </w:r>
        <w:r w:rsidRPr="00162B25">
          <w:rPr>
            <w:b/>
          </w:rPr>
          <w:instrText xml:space="preserve"> PAGE   \* MERGEFORMAT </w:instrText>
        </w:r>
        <w:r w:rsidRPr="00162B25">
          <w:rPr>
            <w:b/>
          </w:rPr>
          <w:fldChar w:fldCharType="separate"/>
        </w:r>
        <w:r w:rsidRPr="00162B25">
          <w:rPr>
            <w:b/>
            <w:noProof/>
          </w:rPr>
          <w:t>2</w:t>
        </w:r>
        <w:r w:rsidRPr="00162B25">
          <w:rPr>
            <w:b/>
            <w:noProof/>
          </w:rPr>
          <w:fldChar w:fldCharType="end"/>
        </w:r>
      </w:p>
    </w:sdtContent>
  </w:sdt>
  <w:p w14:paraId="6CE5AABE" w14:textId="77777777" w:rsidR="00162B25" w:rsidRDefault="00162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7EA7"/>
    <w:multiLevelType w:val="hybridMultilevel"/>
    <w:tmpl w:val="3D10E204"/>
    <w:lvl w:ilvl="0" w:tplc="04090001">
      <w:start w:val="1"/>
      <w:numFmt w:val="bullet"/>
      <w:lvlText w:val=""/>
      <w:lvlJc w:val="left"/>
      <w:pPr>
        <w:tabs>
          <w:tab w:val="num" w:pos="720"/>
        </w:tabs>
        <w:ind w:left="720" w:hanging="360"/>
      </w:pPr>
      <w:rPr>
        <w:rFonts w:ascii="Symbol" w:hAnsi="Symbol" w:hint="default"/>
      </w:rPr>
    </w:lvl>
    <w:lvl w:ilvl="1" w:tplc="71FC339E">
      <w:start w:val="1"/>
      <w:numFmt w:val="decimal"/>
      <w:lvlText w:val="%2."/>
      <w:lvlJc w:val="left"/>
      <w:pPr>
        <w:tabs>
          <w:tab w:val="num" w:pos="1440"/>
        </w:tabs>
        <w:ind w:left="1440" w:hanging="360"/>
      </w:pPr>
      <w:rPr>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04025"/>
    <w:multiLevelType w:val="hybridMultilevel"/>
    <w:tmpl w:val="2B94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F5A93"/>
    <w:multiLevelType w:val="hybridMultilevel"/>
    <w:tmpl w:val="1BBEB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B4BD6"/>
    <w:multiLevelType w:val="hybridMultilevel"/>
    <w:tmpl w:val="38DE04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6E215F5"/>
    <w:multiLevelType w:val="hybridMultilevel"/>
    <w:tmpl w:val="31E8E0F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E31DC1"/>
    <w:multiLevelType w:val="hybridMultilevel"/>
    <w:tmpl w:val="68D0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42D95"/>
    <w:multiLevelType w:val="hybridMultilevel"/>
    <w:tmpl w:val="DF3699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22A14"/>
    <w:multiLevelType w:val="hybridMultilevel"/>
    <w:tmpl w:val="5CC0C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634CF"/>
    <w:multiLevelType w:val="hybridMultilevel"/>
    <w:tmpl w:val="29D67BA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E3555B"/>
    <w:multiLevelType w:val="hybridMultilevel"/>
    <w:tmpl w:val="D180CD1E"/>
    <w:lvl w:ilvl="0" w:tplc="7C7C193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034580"/>
    <w:multiLevelType w:val="hybridMultilevel"/>
    <w:tmpl w:val="FD8A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6076F"/>
    <w:multiLevelType w:val="hybridMultilevel"/>
    <w:tmpl w:val="D7B86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FD10DD"/>
    <w:multiLevelType w:val="hybridMultilevel"/>
    <w:tmpl w:val="47806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C81F02"/>
    <w:multiLevelType w:val="hybridMultilevel"/>
    <w:tmpl w:val="B23EA23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800806"/>
    <w:multiLevelType w:val="hybridMultilevel"/>
    <w:tmpl w:val="08AC2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5162B"/>
    <w:multiLevelType w:val="hybridMultilevel"/>
    <w:tmpl w:val="C072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91123"/>
    <w:multiLevelType w:val="hybridMultilevel"/>
    <w:tmpl w:val="314826A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2A0070"/>
    <w:multiLevelType w:val="hybridMultilevel"/>
    <w:tmpl w:val="0D2A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837DA"/>
    <w:multiLevelType w:val="hybridMultilevel"/>
    <w:tmpl w:val="EF92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539CF"/>
    <w:multiLevelType w:val="hybridMultilevel"/>
    <w:tmpl w:val="F3C68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535A58"/>
    <w:multiLevelType w:val="hybridMultilevel"/>
    <w:tmpl w:val="7CE86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C943C7"/>
    <w:multiLevelType w:val="hybridMultilevel"/>
    <w:tmpl w:val="664CF584"/>
    <w:lvl w:ilvl="0" w:tplc="5D6AFDD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4B47B7"/>
    <w:multiLevelType w:val="hybridMultilevel"/>
    <w:tmpl w:val="33F0FCC0"/>
    <w:lvl w:ilvl="0" w:tplc="06A67692">
      <w:start w:val="1"/>
      <w:numFmt w:val="decimal"/>
      <w:lvlText w:val="%1."/>
      <w:lvlJc w:val="left"/>
      <w:pPr>
        <w:ind w:left="360" w:hanging="36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4C2C52"/>
    <w:multiLevelType w:val="hybridMultilevel"/>
    <w:tmpl w:val="F0DA7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466C8F"/>
    <w:multiLevelType w:val="hybridMultilevel"/>
    <w:tmpl w:val="9F668C4A"/>
    <w:lvl w:ilvl="0" w:tplc="CB341E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4B21C8"/>
    <w:multiLevelType w:val="hybridMultilevel"/>
    <w:tmpl w:val="04EC1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0138C6"/>
    <w:multiLevelType w:val="hybridMultilevel"/>
    <w:tmpl w:val="29C83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BC314D"/>
    <w:multiLevelType w:val="hybridMultilevel"/>
    <w:tmpl w:val="0DBC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941D9"/>
    <w:multiLevelType w:val="hybridMultilevel"/>
    <w:tmpl w:val="B4A6E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71C30"/>
    <w:multiLevelType w:val="hybridMultilevel"/>
    <w:tmpl w:val="3426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D7FFD"/>
    <w:multiLevelType w:val="hybridMultilevel"/>
    <w:tmpl w:val="C0BC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446CEE"/>
    <w:multiLevelType w:val="hybridMultilevel"/>
    <w:tmpl w:val="49E2F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1074CE"/>
    <w:multiLevelType w:val="hybridMultilevel"/>
    <w:tmpl w:val="96AE1C6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076ED5"/>
    <w:multiLevelType w:val="hybridMultilevel"/>
    <w:tmpl w:val="6256E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D1770E"/>
    <w:multiLevelType w:val="hybridMultilevel"/>
    <w:tmpl w:val="2DE2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D3CF1"/>
    <w:multiLevelType w:val="hybridMultilevel"/>
    <w:tmpl w:val="2304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9"/>
  </w:num>
  <w:num w:numId="4">
    <w:abstractNumId w:val="0"/>
  </w:num>
  <w:num w:numId="5">
    <w:abstractNumId w:val="21"/>
  </w:num>
  <w:num w:numId="6">
    <w:abstractNumId w:val="24"/>
  </w:num>
  <w:num w:numId="7">
    <w:abstractNumId w:val="28"/>
  </w:num>
  <w:num w:numId="8">
    <w:abstractNumId w:val="22"/>
  </w:num>
  <w:num w:numId="9">
    <w:abstractNumId w:val="35"/>
  </w:num>
  <w:num w:numId="10">
    <w:abstractNumId w:val="10"/>
  </w:num>
  <w:num w:numId="11">
    <w:abstractNumId w:val="11"/>
  </w:num>
  <w:num w:numId="12">
    <w:abstractNumId w:val="13"/>
  </w:num>
  <w:num w:numId="13">
    <w:abstractNumId w:val="20"/>
  </w:num>
  <w:num w:numId="14">
    <w:abstractNumId w:val="23"/>
  </w:num>
  <w:num w:numId="15">
    <w:abstractNumId w:val="8"/>
  </w:num>
  <w:num w:numId="16">
    <w:abstractNumId w:val="6"/>
  </w:num>
  <w:num w:numId="17">
    <w:abstractNumId w:val="32"/>
  </w:num>
  <w:num w:numId="18">
    <w:abstractNumId w:val="16"/>
  </w:num>
  <w:num w:numId="19">
    <w:abstractNumId w:val="4"/>
  </w:num>
  <w:num w:numId="20">
    <w:abstractNumId w:val="3"/>
  </w:num>
  <w:num w:numId="21">
    <w:abstractNumId w:val="29"/>
  </w:num>
  <w:num w:numId="22">
    <w:abstractNumId w:val="33"/>
  </w:num>
  <w:num w:numId="23">
    <w:abstractNumId w:val="25"/>
  </w:num>
  <w:num w:numId="24">
    <w:abstractNumId w:val="14"/>
  </w:num>
  <w:num w:numId="25">
    <w:abstractNumId w:val="7"/>
  </w:num>
  <w:num w:numId="26">
    <w:abstractNumId w:val="15"/>
  </w:num>
  <w:num w:numId="27">
    <w:abstractNumId w:val="30"/>
  </w:num>
  <w:num w:numId="28">
    <w:abstractNumId w:val="18"/>
  </w:num>
  <w:num w:numId="29">
    <w:abstractNumId w:val="31"/>
  </w:num>
  <w:num w:numId="30">
    <w:abstractNumId w:val="34"/>
  </w:num>
  <w:num w:numId="31">
    <w:abstractNumId w:val="17"/>
  </w:num>
  <w:num w:numId="32">
    <w:abstractNumId w:val="26"/>
  </w:num>
  <w:num w:numId="33">
    <w:abstractNumId w:val="2"/>
  </w:num>
  <w:num w:numId="34">
    <w:abstractNumId w:val="1"/>
  </w:num>
  <w:num w:numId="35">
    <w:abstractNumId w:val="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64"/>
    <w:rsid w:val="0004704B"/>
    <w:rsid w:val="00053321"/>
    <w:rsid w:val="000B644E"/>
    <w:rsid w:val="000E3445"/>
    <w:rsid w:val="00106B81"/>
    <w:rsid w:val="001373DB"/>
    <w:rsid w:val="00162B25"/>
    <w:rsid w:val="00297BE2"/>
    <w:rsid w:val="002D1864"/>
    <w:rsid w:val="002E6F4E"/>
    <w:rsid w:val="002F42FC"/>
    <w:rsid w:val="003824E8"/>
    <w:rsid w:val="00386D64"/>
    <w:rsid w:val="003A437C"/>
    <w:rsid w:val="00427BAB"/>
    <w:rsid w:val="00434B40"/>
    <w:rsid w:val="004931E5"/>
    <w:rsid w:val="004A1875"/>
    <w:rsid w:val="004C6936"/>
    <w:rsid w:val="004F2062"/>
    <w:rsid w:val="00501540"/>
    <w:rsid w:val="00544145"/>
    <w:rsid w:val="00561A25"/>
    <w:rsid w:val="0058399B"/>
    <w:rsid w:val="005A5050"/>
    <w:rsid w:val="005E71E9"/>
    <w:rsid w:val="006B33A2"/>
    <w:rsid w:val="006B4CB2"/>
    <w:rsid w:val="00721DE2"/>
    <w:rsid w:val="007278EE"/>
    <w:rsid w:val="00747B29"/>
    <w:rsid w:val="007665D0"/>
    <w:rsid w:val="00801B11"/>
    <w:rsid w:val="00806BE2"/>
    <w:rsid w:val="00807AFC"/>
    <w:rsid w:val="00835D35"/>
    <w:rsid w:val="0086006F"/>
    <w:rsid w:val="00863A21"/>
    <w:rsid w:val="008C1A0E"/>
    <w:rsid w:val="008D4332"/>
    <w:rsid w:val="00954D18"/>
    <w:rsid w:val="00974008"/>
    <w:rsid w:val="00977C7C"/>
    <w:rsid w:val="009D3415"/>
    <w:rsid w:val="009E2EE3"/>
    <w:rsid w:val="00A05681"/>
    <w:rsid w:val="00A114EC"/>
    <w:rsid w:val="00A15D5D"/>
    <w:rsid w:val="00A41602"/>
    <w:rsid w:val="00A51C28"/>
    <w:rsid w:val="00A62C85"/>
    <w:rsid w:val="00A83DD8"/>
    <w:rsid w:val="00AA6142"/>
    <w:rsid w:val="00AC4271"/>
    <w:rsid w:val="00AE0455"/>
    <w:rsid w:val="00BB0C4D"/>
    <w:rsid w:val="00BE0F68"/>
    <w:rsid w:val="00C6020E"/>
    <w:rsid w:val="00C674FD"/>
    <w:rsid w:val="00CD750C"/>
    <w:rsid w:val="00D02D41"/>
    <w:rsid w:val="00D058B3"/>
    <w:rsid w:val="00D35F42"/>
    <w:rsid w:val="00D40222"/>
    <w:rsid w:val="00DB1243"/>
    <w:rsid w:val="00E153A5"/>
    <w:rsid w:val="00E775BB"/>
    <w:rsid w:val="00E96CEA"/>
    <w:rsid w:val="00EB5809"/>
    <w:rsid w:val="00EE238D"/>
    <w:rsid w:val="00F665FE"/>
    <w:rsid w:val="00FF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26198F"/>
  <w15:docId w15:val="{4CEDE32D-E26C-4689-B337-2BA24763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64"/>
    <w:rPr>
      <w:rFonts w:ascii="Tahoma" w:hAnsi="Tahoma" w:cs="Tahoma"/>
      <w:sz w:val="16"/>
      <w:szCs w:val="16"/>
    </w:rPr>
  </w:style>
  <w:style w:type="paragraph" w:styleId="ListParagraph">
    <w:name w:val="List Paragraph"/>
    <w:basedOn w:val="Normal"/>
    <w:uiPriority w:val="34"/>
    <w:qFormat/>
    <w:rsid w:val="00386D64"/>
    <w:pPr>
      <w:ind w:left="720"/>
      <w:contextualSpacing/>
    </w:pPr>
  </w:style>
  <w:style w:type="table" w:styleId="TableGrid">
    <w:name w:val="Table Grid"/>
    <w:basedOn w:val="TableNormal"/>
    <w:uiPriority w:val="59"/>
    <w:rsid w:val="004A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head">
    <w:name w:val="@sec head"/>
    <w:basedOn w:val="BodyText"/>
    <w:rsid w:val="004A1875"/>
    <w:pPr>
      <w:pBdr>
        <w:bottom w:val="single" w:sz="4" w:space="1" w:color="auto"/>
      </w:pBdr>
      <w:spacing w:after="240" w:line="240" w:lineRule="auto"/>
      <w:jc w:val="both"/>
    </w:pPr>
    <w:rPr>
      <w:rFonts w:ascii="Arial" w:eastAsia="Times New Roman" w:hAnsi="Arial" w:cs="Times New Roman"/>
      <w:b/>
      <w:spacing w:val="-5"/>
      <w:sz w:val="36"/>
      <w:szCs w:val="20"/>
      <w:lang w:val="en-US"/>
    </w:rPr>
  </w:style>
  <w:style w:type="paragraph" w:styleId="BodyText">
    <w:name w:val="Body Text"/>
    <w:basedOn w:val="Normal"/>
    <w:link w:val="BodyTextChar"/>
    <w:uiPriority w:val="99"/>
    <w:semiHidden/>
    <w:unhideWhenUsed/>
    <w:rsid w:val="004A1875"/>
    <w:pPr>
      <w:spacing w:after="120"/>
    </w:pPr>
  </w:style>
  <w:style w:type="character" w:customStyle="1" w:styleId="BodyTextChar">
    <w:name w:val="Body Text Char"/>
    <w:basedOn w:val="DefaultParagraphFont"/>
    <w:link w:val="BodyText"/>
    <w:uiPriority w:val="99"/>
    <w:semiHidden/>
    <w:rsid w:val="004A1875"/>
  </w:style>
  <w:style w:type="paragraph" w:customStyle="1" w:styleId="head2">
    <w:name w:val="@head2"/>
    <w:basedOn w:val="BodyText"/>
    <w:rsid w:val="004F2062"/>
    <w:pPr>
      <w:spacing w:before="180" w:line="240" w:lineRule="auto"/>
      <w:jc w:val="both"/>
    </w:pPr>
    <w:rPr>
      <w:rFonts w:ascii="Arial" w:eastAsia="Times New Roman" w:hAnsi="Arial" w:cs="Times New Roman"/>
      <w:b/>
      <w:sz w:val="28"/>
      <w:szCs w:val="20"/>
      <w:lang w:val="en-US"/>
    </w:rPr>
  </w:style>
  <w:style w:type="paragraph" w:styleId="Header">
    <w:name w:val="header"/>
    <w:basedOn w:val="Normal"/>
    <w:link w:val="HeaderChar"/>
    <w:uiPriority w:val="99"/>
    <w:unhideWhenUsed/>
    <w:rsid w:val="00D02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D41"/>
  </w:style>
  <w:style w:type="paragraph" w:styleId="Footer">
    <w:name w:val="footer"/>
    <w:basedOn w:val="Normal"/>
    <w:link w:val="FooterChar"/>
    <w:uiPriority w:val="99"/>
    <w:unhideWhenUsed/>
    <w:rsid w:val="00D02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D41"/>
  </w:style>
  <w:style w:type="paragraph" w:customStyle="1" w:styleId="head1">
    <w:name w:val="@head1"/>
    <w:basedOn w:val="BodyText"/>
    <w:rsid w:val="00D058B3"/>
    <w:pPr>
      <w:spacing w:before="240" w:after="180" w:line="240" w:lineRule="auto"/>
      <w:jc w:val="both"/>
    </w:pPr>
    <w:rPr>
      <w:rFonts w:ascii="Arial" w:eastAsia="Times New Roman" w:hAnsi="Arial" w:cs="Times New Roman"/>
      <w:b/>
      <w:sz w:val="36"/>
      <w:szCs w:val="20"/>
      <w:lang w:val="en-US"/>
    </w:rPr>
  </w:style>
  <w:style w:type="table" w:customStyle="1" w:styleId="TableGrid1">
    <w:name w:val="Table Grid1"/>
    <w:basedOn w:val="TableNormal"/>
    <w:next w:val="TableGrid"/>
    <w:uiPriority w:val="59"/>
    <w:rsid w:val="002E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15" ma:contentTypeDescription="Create a new document." ma:contentTypeScope="" ma:versionID="6b545fa65b81d1bdc29444376e6cf8c7">
  <xsd:schema xmlns:xsd="http://www.w3.org/2001/XMLSchema" xmlns:xs="http://www.w3.org/2001/XMLSchema" xmlns:p="http://schemas.microsoft.com/office/2006/metadata/properties" xmlns:ns2="982dfcb0-c61c-4435-8d04-8b090426daf0" xmlns:ns3="7309f27d-50ae-4b24-baee-fc6a4fd1f243" targetNamespace="http://schemas.microsoft.com/office/2006/metadata/properties" ma:root="true" ma:fieldsID="196b71f0a3a4f738af852bec722d99d6" ns2:_="" ns3:_="">
    <xsd:import namespace="982dfcb0-c61c-4435-8d04-8b090426daf0"/>
    <xsd:import namespace="7309f27d-50ae-4b24-baee-fc6a4fd1f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8a291e-a13c-4336-bace-f51374b51e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9f27d-50ae-4b24-baee-fc6a4fd1f2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fc1f9f-39f1-4722-95b8-b2ea6a240a4f}" ma:internalName="TaxCatchAll" ma:showField="CatchAllData" ma:web="7309f27d-50ae-4b24-baee-fc6a4fd1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9f27d-50ae-4b24-baee-fc6a4fd1f243" xsi:nil="true"/>
    <lcf76f155ced4ddcb4097134ff3c332f xmlns="982dfcb0-c61c-4435-8d04-8b090426d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BA0644-F5A2-4AED-BB78-B823D028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dfcb0-c61c-4435-8d04-8b090426daf0"/>
    <ds:schemaRef ds:uri="7309f27d-50ae-4b24-baee-fc6a4fd1f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6EC7E-0A04-47A9-9566-53AD3C015586}">
  <ds:schemaRefs>
    <ds:schemaRef ds:uri="http://schemas.microsoft.com/sharepoint/v3/contenttype/forms"/>
  </ds:schemaRefs>
</ds:datastoreItem>
</file>

<file path=customXml/itemProps3.xml><?xml version="1.0" encoding="utf-8"?>
<ds:datastoreItem xmlns:ds="http://schemas.openxmlformats.org/officeDocument/2006/customXml" ds:itemID="{5C4060CB-76AF-4BF8-9E40-C37883D08132}">
  <ds:schemaRefs>
    <ds:schemaRef ds:uri="http://purl.org/dc/elements/1.1/"/>
    <ds:schemaRef ds:uri="http://purl.org/dc/terms/"/>
    <ds:schemaRef ds:uri="http://schemas.microsoft.com/office/2006/documentManagement/types"/>
    <ds:schemaRef ds:uri="7309f27d-50ae-4b24-baee-fc6a4fd1f243"/>
    <ds:schemaRef ds:uri="http://schemas.openxmlformats.org/package/2006/metadata/core-properties"/>
    <ds:schemaRef ds:uri="http://www.w3.org/XML/1998/namespace"/>
    <ds:schemaRef ds:uri="http://purl.org/dc/dcmitype/"/>
    <ds:schemaRef ds:uri="http://schemas.microsoft.com/office/infopath/2007/PartnerControls"/>
    <ds:schemaRef ds:uri="982dfcb0-c61c-4435-8d04-8b090426daf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Robinson</dc:creator>
  <cp:lastModifiedBy>Leanne Wortley</cp:lastModifiedBy>
  <cp:revision>3</cp:revision>
  <cp:lastPrinted>2019-11-16T08:24:00Z</cp:lastPrinted>
  <dcterms:created xsi:type="dcterms:W3CDTF">2023-03-06T12:03:00Z</dcterms:created>
  <dcterms:modified xsi:type="dcterms:W3CDTF">2023-03-06T12:07:00Z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ies>
</file>